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34" w:rsidRDefault="00AB6734" w:rsidP="00AB6734">
      <w:pPr>
        <w:jc w:val="left"/>
        <w:rPr>
          <w:rFonts w:eastAsia="仿宋" w:hAnsi="仿宋"/>
          <w:b/>
          <w:sz w:val="32"/>
          <w:szCs w:val="32"/>
        </w:rPr>
      </w:pPr>
      <w:r>
        <w:rPr>
          <w:rFonts w:eastAsia="仿宋" w:hAnsi="仿宋" w:hint="eastAsia"/>
          <w:b/>
          <w:sz w:val="32"/>
          <w:szCs w:val="32"/>
        </w:rPr>
        <w:t>附件</w:t>
      </w:r>
      <w:r w:rsidR="000D0FC9">
        <w:rPr>
          <w:rFonts w:eastAsia="仿宋" w:hAnsi="仿宋" w:hint="eastAsia"/>
          <w:b/>
          <w:sz w:val="32"/>
          <w:szCs w:val="32"/>
        </w:rPr>
        <w:t>1</w:t>
      </w:r>
      <w:r>
        <w:rPr>
          <w:rFonts w:eastAsia="仿宋" w:hAnsi="仿宋"/>
          <w:b/>
          <w:sz w:val="32"/>
          <w:szCs w:val="32"/>
        </w:rPr>
        <w:t>:</w:t>
      </w:r>
    </w:p>
    <w:p w:rsidR="00AB6734" w:rsidRPr="000D0FC9" w:rsidRDefault="00AB6734" w:rsidP="000D0FC9">
      <w:pPr>
        <w:spacing w:line="560" w:lineRule="exact"/>
        <w:jc w:val="center"/>
        <w:rPr>
          <w:rFonts w:ascii="仿宋" w:eastAsia="仿宋" w:hAnsi="仿宋"/>
          <w:b/>
          <w:sz w:val="36"/>
          <w:szCs w:val="36"/>
        </w:rPr>
      </w:pPr>
      <w:bookmarkStart w:id="0" w:name="_GoBack"/>
      <w:r>
        <w:rPr>
          <w:rFonts w:ascii="仿宋" w:eastAsia="仿宋" w:hAnsi="仿宋" w:hint="eastAsia"/>
          <w:b/>
          <w:sz w:val="36"/>
          <w:szCs w:val="36"/>
        </w:rPr>
        <w:t>国家级虚拟仿真实验教学项目评审标准</w:t>
      </w:r>
      <w:bookmarkEnd w:id="0"/>
    </w:p>
    <w:tbl>
      <w:tblPr>
        <w:tblW w:w="590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7238"/>
        <w:gridCol w:w="993"/>
        <w:gridCol w:w="425"/>
      </w:tblGrid>
      <w:tr w:rsidR="00AB6734" w:rsidTr="002C6BEC">
        <w:trPr>
          <w:trHeight w:val="132"/>
        </w:trPr>
        <w:tc>
          <w:tcPr>
            <w:tcW w:w="703" w:type="pct"/>
            <w:tcBorders>
              <w:top w:val="single" w:sz="4" w:space="0" w:color="auto"/>
              <w:left w:val="single" w:sz="4" w:space="0" w:color="auto"/>
              <w:bottom w:val="single" w:sz="4" w:space="0" w:color="auto"/>
              <w:right w:val="single" w:sz="4" w:space="0" w:color="auto"/>
            </w:tcBorders>
            <w:vAlign w:val="center"/>
            <w:hideMark/>
          </w:tcPr>
          <w:p w:rsidR="00AB6734" w:rsidRDefault="00AB6734">
            <w:pPr>
              <w:adjustRightInd w:val="0"/>
              <w:snapToGrid w:val="0"/>
              <w:spacing w:line="440" w:lineRule="exact"/>
            </w:pPr>
            <w:r>
              <w:rPr>
                <w:rFonts w:hint="eastAsia"/>
              </w:rPr>
              <w:t>一级指标</w:t>
            </w: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pPr>
              <w:adjustRightInd w:val="0"/>
              <w:snapToGrid w:val="0"/>
              <w:spacing w:line="440" w:lineRule="exact"/>
            </w:pPr>
            <w:r>
              <w:rPr>
                <w:rFonts w:hint="eastAsia"/>
              </w:rPr>
              <w:t>主要观测点</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Pr="000D0FC9" w:rsidRDefault="00AB6734" w:rsidP="00C777B9">
            <w:pPr>
              <w:adjustRightInd w:val="0"/>
              <w:snapToGrid w:val="0"/>
              <w:spacing w:line="440" w:lineRule="exact"/>
              <w:rPr>
                <w:sz w:val="18"/>
                <w:szCs w:val="18"/>
              </w:rPr>
            </w:pPr>
            <w:r w:rsidRPr="000D0FC9">
              <w:rPr>
                <w:rFonts w:hint="eastAsia"/>
                <w:sz w:val="18"/>
                <w:szCs w:val="18"/>
              </w:rPr>
              <w:t>分值</w:t>
            </w:r>
            <w:r w:rsidR="00C777B9">
              <w:rPr>
                <w:rFonts w:hint="eastAsia"/>
                <w:sz w:val="18"/>
                <w:szCs w:val="18"/>
              </w:rPr>
              <w:t>（</w:t>
            </w:r>
            <w:r w:rsidR="00C777B9">
              <w:rPr>
                <w:rFonts w:hint="eastAsia"/>
                <w:sz w:val="18"/>
                <w:szCs w:val="18"/>
              </w:rPr>
              <w:t>100</w:t>
            </w:r>
            <w:r w:rsidR="00C777B9">
              <w:rPr>
                <w:rFonts w:hint="eastAsia"/>
                <w:sz w:val="18"/>
                <w:szCs w:val="18"/>
              </w:rPr>
              <w:t>分）</w:t>
            </w:r>
          </w:p>
        </w:tc>
        <w:tc>
          <w:tcPr>
            <w:tcW w:w="211" w:type="pct"/>
            <w:tcBorders>
              <w:top w:val="single" w:sz="4" w:space="0" w:color="auto"/>
              <w:left w:val="single" w:sz="4" w:space="0" w:color="auto"/>
              <w:bottom w:val="single" w:sz="4" w:space="0" w:color="auto"/>
              <w:right w:val="single" w:sz="4" w:space="0" w:color="auto"/>
            </w:tcBorders>
            <w:vAlign w:val="center"/>
            <w:hideMark/>
          </w:tcPr>
          <w:p w:rsidR="00AB6734" w:rsidRDefault="00AB6734">
            <w:pPr>
              <w:adjustRightInd w:val="0"/>
              <w:snapToGrid w:val="0"/>
              <w:spacing w:line="440" w:lineRule="exact"/>
            </w:pPr>
            <w:r>
              <w:rPr>
                <w:rFonts w:hint="eastAsia"/>
              </w:rPr>
              <w:t>打分</w:t>
            </w:r>
          </w:p>
        </w:tc>
      </w:tr>
      <w:tr w:rsidR="00AB6734" w:rsidTr="002C6BEC">
        <w:trPr>
          <w:trHeight w:val="132"/>
        </w:trPr>
        <w:tc>
          <w:tcPr>
            <w:tcW w:w="703" w:type="pct"/>
            <w:vMerge w:val="restart"/>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adjustRightInd w:val="0"/>
              <w:snapToGrid w:val="0"/>
              <w:spacing w:line="276" w:lineRule="auto"/>
            </w:pPr>
            <w:r>
              <w:rPr>
                <w:rFonts w:hint="eastAsia"/>
              </w:rPr>
              <w:t>以学生为中心的实验教学理念（</w:t>
            </w:r>
            <w:r>
              <w:t>10</w:t>
            </w:r>
            <w:r>
              <w:rPr>
                <w:rFonts w:hint="eastAsia"/>
              </w:rPr>
              <w:t>）</w:t>
            </w: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注重对学生社会责任感、创新精神、实践能力的综合培养</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3</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widowControl/>
              <w:spacing w:line="276" w:lineRule="auto"/>
              <w:jc w:val="left"/>
            </w:pP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注重知识传授、能力培养、素质提高的协同实施</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3</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widowControl/>
              <w:spacing w:line="276" w:lineRule="auto"/>
              <w:jc w:val="left"/>
            </w:pP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调动学生参与实验教学的积极性和主动性，激发学生的学习兴趣和潜能，增强学生创新创造能力</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4</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val="restart"/>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adjustRightInd w:val="0"/>
              <w:snapToGrid w:val="0"/>
              <w:spacing w:line="276" w:lineRule="auto"/>
            </w:pPr>
            <w:r>
              <w:rPr>
                <w:rFonts w:hint="eastAsia"/>
              </w:rPr>
              <w:t>准确适宜的实验教学内容（</w:t>
            </w:r>
            <w:r>
              <w:t>15</w:t>
            </w:r>
            <w:r>
              <w:rPr>
                <w:rFonts w:hint="eastAsia"/>
              </w:rPr>
              <w:t>）</w:t>
            </w: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坚持问题导向，重点解决真实实验项目条件不具备或实际运行困难，涉及高危或极端环境，高成本、高消耗、不可逆操作、大型综合训练等问题</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7</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widowControl/>
              <w:spacing w:line="276" w:lineRule="auto"/>
              <w:jc w:val="left"/>
            </w:pP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坚持需求导向，紧密结合经济社会发展对高校人才培养的需求，紧密结合专业特色和行业产业发展最新成果，紧密结合学校定位和人才培养特点</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5</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widowControl/>
              <w:spacing w:line="276" w:lineRule="auto"/>
              <w:jc w:val="left"/>
            </w:pP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采用现代信息技术，研发原理准确、内容紧凑、时长合理、难度适宜的虚拟仿真实验教学项目</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3</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val="restart"/>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spacing w:line="276" w:lineRule="auto"/>
            </w:pPr>
            <w:r>
              <w:rPr>
                <w:rFonts w:hint="eastAsia"/>
              </w:rPr>
              <w:t>创新多样的教学方式方法（</w:t>
            </w:r>
            <w:r>
              <w:t>10</w:t>
            </w:r>
            <w:r>
              <w:rPr>
                <w:rFonts w:hint="eastAsia"/>
              </w:rPr>
              <w:t>）</w:t>
            </w: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实行基于问题、案例的互动式、研讨式教学，倡导自主式、合作式、探究式学习</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5</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widowControl/>
              <w:spacing w:line="276" w:lineRule="auto"/>
              <w:jc w:val="left"/>
            </w:pP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注重通过文字、图片、视频等各种媒介促进教学准备、线上讨论、线下交流。加强网络化条件下实验教学规律研究，探索提升实验教学效果的方式方法</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5</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val="restart"/>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spacing w:line="276" w:lineRule="auto"/>
            </w:pPr>
            <w:r>
              <w:rPr>
                <w:rFonts w:hint="eastAsia"/>
              </w:rPr>
              <w:t>先进可靠的实验研发技术（</w:t>
            </w:r>
            <w:r>
              <w:t>15</w:t>
            </w:r>
            <w:r>
              <w:rPr>
                <w:rFonts w:hint="eastAsia"/>
              </w:rPr>
              <w:t>）</w:t>
            </w: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以完成教学要求和内容为目标，综合应用多媒体、大数据、三维建模、人工智能、人机交互、传感器、超级计算、虚拟现实、增强现实、云计算等网络化、数字化、智能化技术手段，提高实验教学项目的吸引力和教学有效度</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8</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widowControl/>
              <w:spacing w:line="276" w:lineRule="auto"/>
              <w:jc w:val="left"/>
            </w:pP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加强相关技术可靠性研究，注重对学生使用虚拟仿真实验教学项目的全方位、多层次防护，切实保障学生健康</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7</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val="restart"/>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adjustRightInd w:val="0"/>
              <w:snapToGrid w:val="0"/>
              <w:spacing w:line="276" w:lineRule="auto"/>
            </w:pPr>
            <w:r>
              <w:rPr>
                <w:rFonts w:hint="eastAsia"/>
              </w:rPr>
              <w:t>稳定安全的开放运行模式（</w:t>
            </w:r>
            <w:r>
              <w:t>10</w:t>
            </w:r>
            <w:r>
              <w:rPr>
                <w:rFonts w:hint="eastAsia"/>
              </w:rPr>
              <w:t>）</w:t>
            </w: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充分考虑不同区域、不同层次、不同类型学生接入实验教学项目的运行需求，搭建具有开放性、扩展性、兼容性和前瞻性的虚拟仿真实验教学项目运行平台</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7</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widowControl/>
              <w:spacing w:line="276" w:lineRule="auto"/>
              <w:jc w:val="left"/>
            </w:pP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注重对相关实验教学项目自有或共有知识产权的保护，注重对学生个人信息等的保护</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3</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val="restart"/>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spacing w:line="276" w:lineRule="auto"/>
            </w:pPr>
            <w:r>
              <w:rPr>
                <w:rFonts w:hint="eastAsia"/>
              </w:rPr>
              <w:t>敬业专业的实验教学队伍（</w:t>
            </w:r>
            <w:r>
              <w:t>10</w:t>
            </w:r>
            <w:r>
              <w:rPr>
                <w:rFonts w:hint="eastAsia"/>
              </w:rPr>
              <w:t>）</w:t>
            </w: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建设师德高尚、热爱教学、知识丰富、能力过硬、结构合理的虚拟仿真实验教学团队</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5</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widowControl/>
              <w:spacing w:line="276" w:lineRule="auto"/>
              <w:jc w:val="left"/>
            </w:pP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健全完善实验教学队伍考核、奖励、监督机制，鼓励和支持教师参与虚拟仿真实验教学项目研发和教学实践</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5</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val="restart"/>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adjustRightInd w:val="0"/>
              <w:snapToGrid w:val="0"/>
              <w:spacing w:line="276" w:lineRule="auto"/>
            </w:pPr>
            <w:r>
              <w:rPr>
                <w:rFonts w:hint="eastAsia"/>
              </w:rPr>
              <w:t>持续改进的实验评价体系（</w:t>
            </w:r>
            <w:r>
              <w:t>15</w:t>
            </w:r>
            <w:r>
              <w:rPr>
                <w:rFonts w:hint="eastAsia"/>
              </w:rPr>
              <w:t>）</w:t>
            </w: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将虚拟仿真实验教学项目纳入相关专业培养方案和教学课程，制订相关教学效果评价办法</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5</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widowControl/>
              <w:spacing w:line="276" w:lineRule="auto"/>
              <w:jc w:val="left"/>
            </w:pP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持续改进相关教学评价机制</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5</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widowControl/>
              <w:spacing w:line="276" w:lineRule="auto"/>
              <w:jc w:val="left"/>
            </w:pP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鼓励高校探索有利于虚拟仿真实验教学项目开放共享的教学绩效激励机制，建立高校间相关实验教学项目成绩互认、学分转换机制</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5</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132"/>
        </w:trPr>
        <w:tc>
          <w:tcPr>
            <w:tcW w:w="703" w:type="pct"/>
            <w:vMerge w:val="restart"/>
            <w:tcBorders>
              <w:top w:val="single" w:sz="4" w:space="0" w:color="auto"/>
              <w:left w:val="single" w:sz="4" w:space="0" w:color="auto"/>
              <w:bottom w:val="single" w:sz="4" w:space="0" w:color="auto"/>
              <w:right w:val="single" w:sz="4" w:space="0" w:color="auto"/>
            </w:tcBorders>
            <w:vAlign w:val="center"/>
            <w:hideMark/>
          </w:tcPr>
          <w:p w:rsidR="00AB6734" w:rsidRDefault="00AB6734" w:rsidP="000D0FC9">
            <w:pPr>
              <w:adjustRightInd w:val="0"/>
              <w:snapToGrid w:val="0"/>
              <w:spacing w:line="276" w:lineRule="auto"/>
            </w:pPr>
            <w:r>
              <w:rPr>
                <w:rFonts w:hint="eastAsia"/>
              </w:rPr>
              <w:t>显著示范的实验教学效果（</w:t>
            </w:r>
            <w:r>
              <w:t>15</w:t>
            </w:r>
            <w:r>
              <w:rPr>
                <w:rFonts w:hint="eastAsia"/>
              </w:rPr>
              <w:t>）</w:t>
            </w: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r>
              <w:rPr>
                <w:rFonts w:hint="eastAsia"/>
              </w:rPr>
              <w:t>虚拟仿真实验教学效果显著，受益面大，学生实验兴趣浓厚，自主学习能力明显增强，实践创新能力明显提高</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10</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r w:rsidR="00AB6734" w:rsidTr="002C6BEC">
        <w:trPr>
          <w:trHeight w:val="691"/>
        </w:trPr>
        <w:tc>
          <w:tcPr>
            <w:tcW w:w="703" w:type="pct"/>
            <w:vMerge/>
            <w:tcBorders>
              <w:top w:val="single" w:sz="4" w:space="0" w:color="auto"/>
              <w:left w:val="single" w:sz="4" w:space="0" w:color="auto"/>
              <w:bottom w:val="single" w:sz="4" w:space="0" w:color="auto"/>
              <w:right w:val="single" w:sz="4" w:space="0" w:color="auto"/>
            </w:tcBorders>
            <w:vAlign w:val="center"/>
            <w:hideMark/>
          </w:tcPr>
          <w:p w:rsidR="00AB6734" w:rsidRDefault="00AB6734">
            <w:pPr>
              <w:widowControl/>
              <w:jc w:val="left"/>
            </w:pPr>
          </w:p>
        </w:tc>
        <w:tc>
          <w:tcPr>
            <w:tcW w:w="3593" w:type="pct"/>
            <w:tcBorders>
              <w:top w:val="single" w:sz="4" w:space="0" w:color="auto"/>
              <w:left w:val="single" w:sz="4" w:space="0" w:color="auto"/>
              <w:bottom w:val="single" w:sz="4" w:space="0" w:color="auto"/>
              <w:right w:val="single" w:sz="4" w:space="0" w:color="auto"/>
            </w:tcBorders>
            <w:vAlign w:val="center"/>
            <w:hideMark/>
          </w:tcPr>
          <w:p w:rsidR="00AB6734" w:rsidRDefault="00AB6734">
            <w:pPr>
              <w:jc w:val="left"/>
            </w:pPr>
            <w:r>
              <w:rPr>
                <w:rFonts w:hint="eastAsia"/>
              </w:rPr>
              <w:t>通过开展在线教学服务或技术支持等，积极发挥对专业类内实验教学信息化建设的示范引领作用</w:t>
            </w:r>
          </w:p>
        </w:tc>
        <w:tc>
          <w:tcPr>
            <w:tcW w:w="493" w:type="pct"/>
            <w:tcBorders>
              <w:top w:val="single" w:sz="4" w:space="0" w:color="auto"/>
              <w:left w:val="single" w:sz="4" w:space="0" w:color="auto"/>
              <w:bottom w:val="single" w:sz="4" w:space="0" w:color="auto"/>
              <w:right w:val="single" w:sz="4" w:space="0" w:color="auto"/>
            </w:tcBorders>
            <w:vAlign w:val="center"/>
            <w:hideMark/>
          </w:tcPr>
          <w:p w:rsidR="00AB6734" w:rsidRDefault="00AB6734">
            <w:r>
              <w:t>5</w:t>
            </w:r>
          </w:p>
        </w:tc>
        <w:tc>
          <w:tcPr>
            <w:tcW w:w="211" w:type="pct"/>
            <w:tcBorders>
              <w:top w:val="single" w:sz="4" w:space="0" w:color="auto"/>
              <w:left w:val="single" w:sz="4" w:space="0" w:color="auto"/>
              <w:bottom w:val="single" w:sz="4" w:space="0" w:color="auto"/>
              <w:right w:val="single" w:sz="4" w:space="0" w:color="auto"/>
            </w:tcBorders>
            <w:vAlign w:val="center"/>
          </w:tcPr>
          <w:p w:rsidR="00AB6734" w:rsidRDefault="00AB6734"/>
        </w:tc>
      </w:tr>
    </w:tbl>
    <w:p w:rsidR="0073287D" w:rsidRDefault="0073287D" w:rsidP="002C6BEC"/>
    <w:sectPr w:rsidR="0073287D" w:rsidSect="002C6BEC">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D73" w:rsidRDefault="00844D73" w:rsidP="00A95979">
      <w:r>
        <w:separator/>
      </w:r>
    </w:p>
  </w:endnote>
  <w:endnote w:type="continuationSeparator" w:id="1">
    <w:p w:rsidR="00844D73" w:rsidRDefault="00844D73" w:rsidP="00A959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D73" w:rsidRDefault="00844D73" w:rsidP="00A95979">
      <w:r>
        <w:separator/>
      </w:r>
    </w:p>
  </w:footnote>
  <w:footnote w:type="continuationSeparator" w:id="1">
    <w:p w:rsidR="00844D73" w:rsidRDefault="00844D73" w:rsidP="00A959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6B26"/>
    <w:rsid w:val="000D0FC9"/>
    <w:rsid w:val="001F79C0"/>
    <w:rsid w:val="002C6BEC"/>
    <w:rsid w:val="0073287D"/>
    <w:rsid w:val="007640FC"/>
    <w:rsid w:val="00844D73"/>
    <w:rsid w:val="009456F7"/>
    <w:rsid w:val="00A95979"/>
    <w:rsid w:val="00AB6734"/>
    <w:rsid w:val="00AE70EB"/>
    <w:rsid w:val="00B4173F"/>
    <w:rsid w:val="00C51A70"/>
    <w:rsid w:val="00C777B9"/>
    <w:rsid w:val="00D56B26"/>
    <w:rsid w:val="00FC50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7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59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5979"/>
    <w:rPr>
      <w:sz w:val="18"/>
      <w:szCs w:val="18"/>
    </w:rPr>
  </w:style>
  <w:style w:type="paragraph" w:styleId="a4">
    <w:name w:val="footer"/>
    <w:basedOn w:val="a"/>
    <w:link w:val="Char0"/>
    <w:uiPriority w:val="99"/>
    <w:semiHidden/>
    <w:unhideWhenUsed/>
    <w:rsid w:val="00A959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597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7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222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999</Characters>
  <Application>Microsoft Office Word</Application>
  <DocSecurity>0</DocSecurity>
  <Lines>8</Lines>
  <Paragraphs>2</Paragraphs>
  <ScaleCrop>false</ScaleCrop>
  <Company>Hewlett-Packard Company</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xush</dc:creator>
  <cp:lastModifiedBy>Hewlett-Packard Company</cp:lastModifiedBy>
  <cp:revision>5</cp:revision>
  <cp:lastPrinted>2018-10-08T02:01:00Z</cp:lastPrinted>
  <dcterms:created xsi:type="dcterms:W3CDTF">2018-09-29T02:16:00Z</dcterms:created>
  <dcterms:modified xsi:type="dcterms:W3CDTF">2018-10-08T07:22:00Z</dcterms:modified>
</cp:coreProperties>
</file>