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20" w:lineRule="exact"/>
        <w:jc w:val="center"/>
        <w:textAlignment w:val="bottom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福建省“书香机关”推介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52"/>
          <w:sz w:val="44"/>
          <w:szCs w:val="44"/>
        </w:rPr>
        <w:t>表</w:t>
      </w:r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9"/>
        <w:gridCol w:w="2833"/>
        <w:gridCol w:w="1369"/>
        <w:gridCol w:w="125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9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被推介单位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单位</w:t>
            </w: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position w:val="-3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法定代表人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通信地址及邮编</w:t>
            </w:r>
          </w:p>
        </w:tc>
        <w:tc>
          <w:tcPr>
            <w:tcW w:w="63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单位联络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 名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    务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固定电话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移动电话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6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所在地/主管部门</w:t>
            </w:r>
          </w:p>
        </w:tc>
        <w:tc>
          <w:tcPr>
            <w:tcW w:w="6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仿宋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书香机关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240" w:firstLineChars="100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书香机关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书香建设总体情况、特色成效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等主要内容，300字以内）</w:t>
            </w:r>
          </w:p>
        </w:tc>
        <w:tc>
          <w:tcPr>
            <w:tcW w:w="63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书香建设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主要经验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主要做法、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创新点、经验启示或在本系统、本地区的示范作用等，字数不限，可以附件方式提供，可视情况提供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图片及音视频资料，所有资料总大小不超过1GB）</w:t>
            </w:r>
          </w:p>
        </w:tc>
        <w:tc>
          <w:tcPr>
            <w:tcW w:w="63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39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审核信息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被推介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单位填写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4"/>
                <w:szCs w:val="24"/>
              </w:rPr>
              <w:t>，须包含近三年无违反相关法律法规的声明）</w:t>
            </w:r>
          </w:p>
        </w:tc>
        <w:tc>
          <w:tcPr>
            <w:tcW w:w="63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  <w:lang w:eastAsia="zh-CN"/>
              </w:rPr>
              <w:t>被推介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单位负责人签字：          （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盖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黑体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（由省全民阅读工作组委会相关单位或所在设区市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全民阅读工作组委会办公室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63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315" w:firstLineChars="150"/>
              <w:rPr>
                <w:rFonts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20" w:firstLineChars="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审核单位：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 （盖章）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20" w:lineRule="exact"/>
              <w:ind w:right="1016" w:rightChars="484"/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ascii="仿宋_GB2312" w:eastAsia="仿宋_GB2312"/>
          <w:color w:val="auto"/>
          <w:spacing w:val="0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587" w:bottom="1474" w:left="1587" w:header="851" w:footer="992" w:gutter="0"/>
      <w:pgNumType w:fmt="decimal"/>
      <w:cols w:space="720" w:num="1"/>
      <w:docGrid w:linePitch="629" w:charSpace="26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WO1A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Lymx3ODATz9/nH79Of3+&#10;Tqo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RY7UC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evenAndOddHeaders w:val="1"/>
  <w:drawingGridHorizontalSpacing w:val="170"/>
  <w:drawingGridVerticalSpacing w:val="629"/>
  <w:displayHorizontalDrawingGridEvery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1EF"/>
    <w:rsid w:val="00017698"/>
    <w:rsid w:val="00023D93"/>
    <w:rsid w:val="000252C7"/>
    <w:rsid w:val="00036B3C"/>
    <w:rsid w:val="000374DC"/>
    <w:rsid w:val="00040D65"/>
    <w:rsid w:val="0004761A"/>
    <w:rsid w:val="0005375A"/>
    <w:rsid w:val="00095BD4"/>
    <w:rsid w:val="000F06B9"/>
    <w:rsid w:val="000F0F0E"/>
    <w:rsid w:val="000F76E0"/>
    <w:rsid w:val="001265A5"/>
    <w:rsid w:val="001274C9"/>
    <w:rsid w:val="00134E6D"/>
    <w:rsid w:val="001445E5"/>
    <w:rsid w:val="00154B84"/>
    <w:rsid w:val="00170CBC"/>
    <w:rsid w:val="00172A27"/>
    <w:rsid w:val="00191C6B"/>
    <w:rsid w:val="00196D7A"/>
    <w:rsid w:val="001C098B"/>
    <w:rsid w:val="001C6725"/>
    <w:rsid w:val="001F262F"/>
    <w:rsid w:val="0023530F"/>
    <w:rsid w:val="0024047D"/>
    <w:rsid w:val="00287983"/>
    <w:rsid w:val="00290D1C"/>
    <w:rsid w:val="002912EB"/>
    <w:rsid w:val="002921FC"/>
    <w:rsid w:val="002A5A3A"/>
    <w:rsid w:val="002C390D"/>
    <w:rsid w:val="003029F1"/>
    <w:rsid w:val="0030320B"/>
    <w:rsid w:val="003133C6"/>
    <w:rsid w:val="00326FB4"/>
    <w:rsid w:val="00333065"/>
    <w:rsid w:val="0035492E"/>
    <w:rsid w:val="00364382"/>
    <w:rsid w:val="00366A1A"/>
    <w:rsid w:val="00370CF7"/>
    <w:rsid w:val="00386067"/>
    <w:rsid w:val="0039226B"/>
    <w:rsid w:val="003A5D03"/>
    <w:rsid w:val="003D1C6E"/>
    <w:rsid w:val="003E0314"/>
    <w:rsid w:val="003F26D6"/>
    <w:rsid w:val="004029FD"/>
    <w:rsid w:val="0041284F"/>
    <w:rsid w:val="004159BE"/>
    <w:rsid w:val="00427BCA"/>
    <w:rsid w:val="004406E5"/>
    <w:rsid w:val="00444C16"/>
    <w:rsid w:val="00452068"/>
    <w:rsid w:val="00470BD7"/>
    <w:rsid w:val="00474338"/>
    <w:rsid w:val="00477BBF"/>
    <w:rsid w:val="004800BE"/>
    <w:rsid w:val="004826FE"/>
    <w:rsid w:val="00496A8F"/>
    <w:rsid w:val="004A501C"/>
    <w:rsid w:val="004B4BFB"/>
    <w:rsid w:val="00532E31"/>
    <w:rsid w:val="005618CA"/>
    <w:rsid w:val="00593929"/>
    <w:rsid w:val="005C2691"/>
    <w:rsid w:val="005D3D0E"/>
    <w:rsid w:val="005D7FB8"/>
    <w:rsid w:val="005E1F19"/>
    <w:rsid w:val="005E3F3D"/>
    <w:rsid w:val="005E491A"/>
    <w:rsid w:val="00605AC4"/>
    <w:rsid w:val="0062160D"/>
    <w:rsid w:val="006A73BE"/>
    <w:rsid w:val="006B491B"/>
    <w:rsid w:val="006B563E"/>
    <w:rsid w:val="006C2A1D"/>
    <w:rsid w:val="007012DF"/>
    <w:rsid w:val="00717B26"/>
    <w:rsid w:val="007246D7"/>
    <w:rsid w:val="007413DE"/>
    <w:rsid w:val="00775C1A"/>
    <w:rsid w:val="007B0BA9"/>
    <w:rsid w:val="007B562D"/>
    <w:rsid w:val="007B796D"/>
    <w:rsid w:val="007E1337"/>
    <w:rsid w:val="007F1DC5"/>
    <w:rsid w:val="00831F8E"/>
    <w:rsid w:val="00837C67"/>
    <w:rsid w:val="00847B85"/>
    <w:rsid w:val="00854DB1"/>
    <w:rsid w:val="0086137E"/>
    <w:rsid w:val="00892280"/>
    <w:rsid w:val="008A0468"/>
    <w:rsid w:val="008A5752"/>
    <w:rsid w:val="008D0B90"/>
    <w:rsid w:val="008E4845"/>
    <w:rsid w:val="008E77B6"/>
    <w:rsid w:val="009225B2"/>
    <w:rsid w:val="00936B20"/>
    <w:rsid w:val="00944BA0"/>
    <w:rsid w:val="00975CE4"/>
    <w:rsid w:val="00991DAA"/>
    <w:rsid w:val="009A5321"/>
    <w:rsid w:val="009A6C35"/>
    <w:rsid w:val="00A210C6"/>
    <w:rsid w:val="00A24A38"/>
    <w:rsid w:val="00A40A78"/>
    <w:rsid w:val="00A43EE0"/>
    <w:rsid w:val="00A51479"/>
    <w:rsid w:val="00A53BE4"/>
    <w:rsid w:val="00A64D60"/>
    <w:rsid w:val="00A653C1"/>
    <w:rsid w:val="00A723F9"/>
    <w:rsid w:val="00A97FC1"/>
    <w:rsid w:val="00AB0ABF"/>
    <w:rsid w:val="00AD604D"/>
    <w:rsid w:val="00AF018B"/>
    <w:rsid w:val="00AF1F4E"/>
    <w:rsid w:val="00AF6934"/>
    <w:rsid w:val="00B1062C"/>
    <w:rsid w:val="00B37C2B"/>
    <w:rsid w:val="00B42049"/>
    <w:rsid w:val="00B43353"/>
    <w:rsid w:val="00B46111"/>
    <w:rsid w:val="00B52CC7"/>
    <w:rsid w:val="00B734B8"/>
    <w:rsid w:val="00B81989"/>
    <w:rsid w:val="00BB2B77"/>
    <w:rsid w:val="00BB61D4"/>
    <w:rsid w:val="00BC053F"/>
    <w:rsid w:val="00BC53D6"/>
    <w:rsid w:val="00BF187E"/>
    <w:rsid w:val="00C05729"/>
    <w:rsid w:val="00C36D55"/>
    <w:rsid w:val="00C45491"/>
    <w:rsid w:val="00C70E05"/>
    <w:rsid w:val="00C73912"/>
    <w:rsid w:val="00C97A01"/>
    <w:rsid w:val="00CA1161"/>
    <w:rsid w:val="00CB1A6C"/>
    <w:rsid w:val="00CE0AFC"/>
    <w:rsid w:val="00D00126"/>
    <w:rsid w:val="00D00ABD"/>
    <w:rsid w:val="00D00FDC"/>
    <w:rsid w:val="00D04E85"/>
    <w:rsid w:val="00D15ED1"/>
    <w:rsid w:val="00D31669"/>
    <w:rsid w:val="00D442A6"/>
    <w:rsid w:val="00D6078C"/>
    <w:rsid w:val="00D62E73"/>
    <w:rsid w:val="00DA2BF3"/>
    <w:rsid w:val="00DA571A"/>
    <w:rsid w:val="00DA6ABA"/>
    <w:rsid w:val="00DD75CF"/>
    <w:rsid w:val="00DF1F71"/>
    <w:rsid w:val="00E00F86"/>
    <w:rsid w:val="00E41326"/>
    <w:rsid w:val="00E53F54"/>
    <w:rsid w:val="00E62576"/>
    <w:rsid w:val="00E64C4A"/>
    <w:rsid w:val="00E72B2D"/>
    <w:rsid w:val="00E8022F"/>
    <w:rsid w:val="00E9124D"/>
    <w:rsid w:val="00EB34E9"/>
    <w:rsid w:val="00EB548B"/>
    <w:rsid w:val="00EF091D"/>
    <w:rsid w:val="00F072A7"/>
    <w:rsid w:val="00F17272"/>
    <w:rsid w:val="00F255D6"/>
    <w:rsid w:val="00F54017"/>
    <w:rsid w:val="00F54B0A"/>
    <w:rsid w:val="00F63B27"/>
    <w:rsid w:val="00F664F3"/>
    <w:rsid w:val="00F817CF"/>
    <w:rsid w:val="00F97C33"/>
    <w:rsid w:val="00FA1F53"/>
    <w:rsid w:val="00FA78E1"/>
    <w:rsid w:val="00FA791C"/>
    <w:rsid w:val="00FD1F6C"/>
    <w:rsid w:val="00FD47CD"/>
    <w:rsid w:val="039A37CB"/>
    <w:rsid w:val="1CDDAA8A"/>
    <w:rsid w:val="1FEFFA65"/>
    <w:rsid w:val="32EF5133"/>
    <w:rsid w:val="360B3B51"/>
    <w:rsid w:val="37BE0CDE"/>
    <w:rsid w:val="3BFF5CE8"/>
    <w:rsid w:val="3FDEAA46"/>
    <w:rsid w:val="429155F6"/>
    <w:rsid w:val="44958501"/>
    <w:rsid w:val="45FB7F3D"/>
    <w:rsid w:val="4BACA5F6"/>
    <w:rsid w:val="52E14F6C"/>
    <w:rsid w:val="55A539EC"/>
    <w:rsid w:val="57FEBCE0"/>
    <w:rsid w:val="5C6E2D5D"/>
    <w:rsid w:val="5D3DB3A1"/>
    <w:rsid w:val="5F7F50F2"/>
    <w:rsid w:val="5FDBBB72"/>
    <w:rsid w:val="5FFDE4F3"/>
    <w:rsid w:val="693B447D"/>
    <w:rsid w:val="6C645F03"/>
    <w:rsid w:val="6CFBA1E8"/>
    <w:rsid w:val="6DFC44C9"/>
    <w:rsid w:val="73FB8FFC"/>
    <w:rsid w:val="74794BED"/>
    <w:rsid w:val="77593825"/>
    <w:rsid w:val="7BB19533"/>
    <w:rsid w:val="7DD7E896"/>
    <w:rsid w:val="7DDA7B5F"/>
    <w:rsid w:val="7DFF4FB0"/>
    <w:rsid w:val="7F3300C9"/>
    <w:rsid w:val="7F7D5343"/>
    <w:rsid w:val="7FB77959"/>
    <w:rsid w:val="7FE656DE"/>
    <w:rsid w:val="7FF52A9F"/>
    <w:rsid w:val="7FF53F44"/>
    <w:rsid w:val="8EE32BA7"/>
    <w:rsid w:val="B6F33106"/>
    <w:rsid w:val="BAFE3ACC"/>
    <w:rsid w:val="BF3F9552"/>
    <w:rsid w:val="BF7CB7C8"/>
    <w:rsid w:val="CEC80AEF"/>
    <w:rsid w:val="CF9F15F9"/>
    <w:rsid w:val="CFDB0C51"/>
    <w:rsid w:val="CFF590B4"/>
    <w:rsid w:val="DFDEFA71"/>
    <w:rsid w:val="EAFB0486"/>
    <w:rsid w:val="F6E46270"/>
    <w:rsid w:val="F7DBF1C8"/>
    <w:rsid w:val="FADB11A4"/>
    <w:rsid w:val="FAFADB83"/>
    <w:rsid w:val="FBF9F5F6"/>
    <w:rsid w:val="FCFFECD3"/>
    <w:rsid w:val="FD7F4E96"/>
    <w:rsid w:val="FDE167BA"/>
    <w:rsid w:val="FEFF96A6"/>
    <w:rsid w:val="FF3D6073"/>
    <w:rsid w:val="FF71B87D"/>
    <w:rsid w:val="FFE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ascii="宋体" w:hAnsi="Times New Roman" w:eastAsia="宋体" w:cs="Arial"/>
      <w:b/>
      <w:bCs/>
      <w:kern w:val="44"/>
      <w:sz w:val="36"/>
      <w:szCs w:val="4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120" w:line="600" w:lineRule="exact"/>
      <w:ind w:firstLine="100" w:firstLineChars="100"/>
      <w:jc w:val="both"/>
    </w:pPr>
    <w:rPr>
      <w:rFonts w:ascii="Times New Roman" w:hAnsi="Times New Roman" w:eastAsia="仿宋_GB2312" w:cs="Arial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ody Text First Indent 2"/>
    <w:basedOn w:val="2"/>
    <w:next w:val="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Body Text Indent"/>
    <w:basedOn w:val="1"/>
    <w:next w:val="2"/>
    <w:qFormat/>
    <w:uiPriority w:val="0"/>
    <w:pPr>
      <w:ind w:firstLine="420"/>
    </w:pPr>
    <w:rPr>
      <w:rFonts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Normal (Web)"/>
    <w:next w:val="9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grame"/>
    <w:basedOn w:val="18"/>
    <w:qFormat/>
    <w:uiPriority w:val="0"/>
  </w:style>
  <w:style w:type="paragraph" w:styleId="22">
    <w:name w:val="List Paragraph"/>
    <w:basedOn w:val="1"/>
    <w:qFormat/>
    <w:uiPriority w:val="0"/>
    <w:pPr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721</Words>
  <Characters>4116</Characters>
  <Lines>34</Lines>
  <Paragraphs>9</Paragraphs>
  <TotalTime>170</TotalTime>
  <ScaleCrop>false</ScaleCrop>
  <LinksUpToDate>false</LinksUpToDate>
  <CharactersWithSpaces>4828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2024-04-01T15:25:00Z</dcterms:created>
  <dc:creator>Admin</dc:creator>
  <cp:lastModifiedBy>Administrator</cp:lastModifiedBy>
  <cp:lastPrinted>2024-05-10T17:02:00Z</cp:lastPrinted>
  <dcterms:modified xsi:type="dcterms:W3CDTF">2024-05-11T01:05:12Z</dcterms:modified>
  <dc:title>省财政厅：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491F7C3A46F04949B7520517325F00A1</vt:lpwstr>
  </property>
</Properties>
</file>