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E154E">
      <w:pPr>
        <w:spacing w:before="120" w:after="120" w:line="288" w:lineRule="auto"/>
        <w:jc w:val="both"/>
        <w:rPr>
          <w:rFonts w:hint="eastAsia" w:ascii="黑体" w:hAnsi="黑体" w:eastAsia="黑体" w:cs="黑体"/>
          <w:b/>
          <w:sz w:val="32"/>
        </w:rPr>
      </w:pPr>
      <w:r>
        <w:rPr>
          <w:rFonts w:ascii="Arial" w:hAnsi="Arial" w:eastAsia="等线" w:cs="Arial"/>
          <w:b/>
          <w:sz w:val="32"/>
        </w:rPr>
        <w:t>附件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1</w:t>
      </w:r>
    </w:p>
    <w:p w14:paraId="00227D12">
      <w:pPr>
        <w:spacing w:before="120" w:after="120" w:line="288" w:lineRule="auto"/>
        <w:ind w:left="0" w:firstLine="280" w:firstLineChars="100"/>
        <w:jc w:val="center"/>
        <w:rPr>
          <w:rFonts w:hint="eastAsia" w:ascii="黑体" w:hAnsi="黑体" w:eastAsia="黑体" w:cs="黑体"/>
          <w:spacing w:val="-20"/>
          <w:sz w:val="32"/>
          <w:szCs w:val="32"/>
        </w:rPr>
      </w:pPr>
      <w:r>
        <w:rPr>
          <w:rFonts w:hint="eastAsia" w:ascii="黑体" w:hAnsi="黑体" w:eastAsia="黑体" w:cs="黑体"/>
          <w:spacing w:val="-20"/>
          <w:sz w:val="32"/>
          <w:szCs w:val="32"/>
        </w:rPr>
        <w:t>泉州师范学院2023-2024年立项研究生教育教学项目汇总表</w:t>
      </w:r>
    </w:p>
    <w:tbl>
      <w:tblPr>
        <w:tblStyle w:val="4"/>
        <w:tblpPr w:leftFromText="180" w:rightFromText="180" w:vertAnchor="text" w:horzAnchor="page" w:tblpX="1456" w:tblpY="583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2266"/>
        <w:gridCol w:w="2139"/>
        <w:gridCol w:w="5888"/>
        <w:gridCol w:w="1594"/>
        <w:gridCol w:w="1356"/>
      </w:tblGrid>
      <w:tr w14:paraId="52A45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立项时间</w:t>
            </w:r>
          </w:p>
        </w:tc>
      </w:tr>
      <w:tr w14:paraId="5AD22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教育教学研究项目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中美韩音乐治疗学硕士培养模式比较研究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邹宏敏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4697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教育教学研究项目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文学与传播学院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融入思政教育的数字传播人才培养 “2+2+2” 模式创新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吴玮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5EA90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6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教育教学研究项目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文学与传播学院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书法微格教学改革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欧阳军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008D3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教育教学研究项目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“育人” 与 “制器”：南音管乐器人才培养与创新改革的探索与实践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3117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8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教育教学研究项目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民族室内乐课程与九弈筝团创新改革实践研究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吴雅蓉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506A8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教育教学研究项目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美术与设计学院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“大思政” 育人格局下泉州 “遗产之城” 文化资源融入研究生教育培养新模式探索实践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连晓波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</w:tr>
      <w:tr w14:paraId="084CD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陈守仁商学院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艺术文化相关法律法规解读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0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徐莉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15C41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陈守仁商学院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策划方案创作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黄志锋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6B598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文学与传播学院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网络媒体文化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吴玮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6785F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纺织与服装学院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配饰设计与企划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77FC0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音乐治疗导论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吴锦芬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00F3E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音乐与舞蹈学院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南音田野调查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陈敏红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</w:tr>
      <w:tr w14:paraId="15ED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陈守仁商学院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演艺策划与推广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林剑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</w:tr>
      <w:tr w14:paraId="64B8F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异常心理学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邵华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</w:tr>
      <w:tr w14:paraId="1EA4F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课程思政示范项目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美术与设计学院</w:t>
            </w:r>
          </w:p>
        </w:tc>
        <w:tc>
          <w:tcPr>
            <w:tcW w:w="2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艺术创作论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陈伟长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</w:tr>
    </w:tbl>
    <w:p w14:paraId="21F2E62E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b/>
          <w:sz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40" w:h="11905" w:orient="landscape"/>
      <w:pgMar w:top="1803" w:right="1440" w:bottom="1803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FB90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515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906F6"/>
    <w:rsid w:val="09D91982"/>
    <w:rsid w:val="119A7465"/>
    <w:rsid w:val="147E4E1C"/>
    <w:rsid w:val="200B57A0"/>
    <w:rsid w:val="25FA08D9"/>
    <w:rsid w:val="3C8B5655"/>
    <w:rsid w:val="3CDE4F0E"/>
    <w:rsid w:val="4CAD50EA"/>
    <w:rsid w:val="598D5FFA"/>
    <w:rsid w:val="61135EB8"/>
    <w:rsid w:val="667E301D"/>
    <w:rsid w:val="6D9B2FE1"/>
    <w:rsid w:val="6DFC3BBF"/>
    <w:rsid w:val="71880FC8"/>
    <w:rsid w:val="7E261E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545</Words>
  <Characters>608</Characters>
  <TotalTime>90</TotalTime>
  <ScaleCrop>false</ScaleCrop>
  <LinksUpToDate>false</LinksUpToDate>
  <CharactersWithSpaces>615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2026-03-26T02:38:00Z</dcterms:created>
  <dc:creator>Apache POI</dc:creator>
  <cp:lastModifiedBy>封辉</cp:lastModifiedBy>
  <dcterms:modified xsi:type="dcterms:W3CDTF">2026-03-30T07:42:09Z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eyJoZGlkIjoiY2ZhYmE2MmU1ZTBjYmVhZGMwNWQ2NjhkOTMxNDY3OWYiLCJ1c2VySWQiOiIzNzExOTI2OTMifQ==</vt:lpwstr>
  </property>
  <property fmtid="{D5CDD505-2E9C-101B-9397-08002B2CF9AE}" pid="3" name="KSOProductBuildVer">
    <vt:lpwstr>2052-12.1.0.18912</vt:lpwstr>
  </property>
  <property fmtid="{D5CDD505-2E9C-101B-9397-08002B2CF9AE}" pid="4" name="ICV">
    <vt:lpwstr>59B84165E1BD4352A4E4289364DEE436_13</vt:lpwstr>
  </property>
</Properties>
</file>