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>
      <w:pPr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泉州师范学院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美术与设计学院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i w:val="0"/>
          <w:iCs w:val="0"/>
          <w:color w:val="000000" w:themeColor="text1"/>
          <w:spacing w:val="-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MSXY20220</w:t>
      </w:r>
      <w:r>
        <w:rPr>
          <w:rFonts w:hint="eastAsia" w:ascii="宋体" w:hAnsi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3  </w:t>
      </w:r>
    </w:p>
    <w:p>
      <w:pPr>
        <w:pStyle w:val="7"/>
        <w:widowControl/>
        <w:spacing w:before="75" w:beforeAutospacing="0" w:after="75" w:afterAutospacing="0" w:line="360" w:lineRule="auto"/>
        <w:jc w:val="left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2022数字美术长卷《宋元中国.海丝泉州传奇》暨“画说海丝韵”美术作品展览数据采集及画册印刷服务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</w:t>
      </w: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eastAsia="zh-CN" w:bidi="ar-SA"/>
        </w:rPr>
        <w:t>39880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Hans" w:bidi="ar-SA"/>
        </w:rPr>
        <w:t>元</w:t>
      </w: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eastAsia="zh-Hans" w:bidi="ar-SA"/>
        </w:rPr>
        <w:t>（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Hans" w:bidi="ar-SA"/>
        </w:rPr>
        <w:t>叁万玖仟扒佰扒拾元整</w:t>
      </w: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eastAsia="zh-Hans" w:bidi="ar-SA"/>
        </w:rPr>
        <w:t>）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10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64" w:hRule="atLeast"/>
          <w:jc w:val="center"/>
        </w:trPr>
        <w:tc>
          <w:tcPr>
            <w:tcW w:w="9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Hans" w:bidi="ar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一</w:t>
            </w:r>
          </w:p>
        </w:tc>
        <w:tc>
          <w:tcPr>
            <w:tcW w:w="337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before="75" w:beforeAutospacing="0" w:after="75" w:afterAutospacing="0" w:line="360" w:lineRule="auto"/>
              <w:ind w:left="0" w:leftChars="0" w:right="0" w:righ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2022数字美术长卷《宋元中国.海丝泉州传奇》暨“画说海丝韵”美术作品展览数据采集及画册印刷服务</w:t>
            </w:r>
          </w:p>
        </w:tc>
        <w:tc>
          <w:tcPr>
            <w:tcW w:w="15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1批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39880.00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详见询价文件第</w:t>
            </w:r>
            <w:r>
              <w:rPr>
                <w:rFonts w:hint="eastAsia" w:ascii="宋体" w:hAnsi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部分要求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注：本项目采购为一个完整合同包，报价供应商必须对该合同包内所有货物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时必须完整。评标与授标以合同包为单位。成交供应商不得转包他人，若发现转包，采购人有权终止协议,并由成交供应商承担相关责任。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、提交报价响应文件截止时间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2022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12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13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15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北京时间)。（从询价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公告发布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之日起至供应商提交响应文件截止之日止不得少于3个工作日）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2022 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12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10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15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北京时间)</w:t>
      </w:r>
      <w:bookmarkStart w:id="3" w:name="_GoBack"/>
      <w:bookmarkEnd w:id="3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Toc26626"/>
      <w:bookmarkStart w:id="1" w:name="_Toc13469"/>
      <w:bookmarkStart w:id="2" w:name="_Toc491700004"/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美术与设计学院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六、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凡对本次招标有疑义的，请以信函、电话、传真或来人与我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联系，联系人：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老师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0595-22912172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其权益受到损害之日起七个工作日内，以书面形式向采购人提出质疑。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bookmarkEnd w:id="0"/>
      <w:bookmarkEnd w:id="1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泉州师范学院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美术与设计学院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eastAsia="zh-CN"/>
        </w:rPr>
        <w:t>2022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年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TMzYmM1OTcwNTNmODgyZGVlZmUxYjg0NDNkMDkifQ=="/>
  </w:docVars>
  <w:rsids>
    <w:rsidRoot w:val="374266EC"/>
    <w:rsid w:val="0C3B6140"/>
    <w:rsid w:val="18BB6BCF"/>
    <w:rsid w:val="245420FD"/>
    <w:rsid w:val="2B432735"/>
    <w:rsid w:val="374266EC"/>
    <w:rsid w:val="3B334F05"/>
    <w:rsid w:val="417574BF"/>
    <w:rsid w:val="71093989"/>
    <w:rsid w:val="722F7F7C"/>
    <w:rsid w:val="7E6B0107"/>
    <w:rsid w:val="88FDD29A"/>
    <w:rsid w:val="FC62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775</Characters>
  <Lines>0</Lines>
  <Paragraphs>0</Paragraphs>
  <TotalTime>0</TotalTime>
  <ScaleCrop>false</ScaleCrop>
  <LinksUpToDate>false</LinksUpToDate>
  <CharactersWithSpaces>830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2022-11-23T22:08:00Z</dcterms:created>
  <dc:creator>骑着蜗牛上高速</dc:creator>
  <cp:lastModifiedBy>你有幸了</cp:lastModifiedBy>
  <dcterms:modified xsi:type="dcterms:W3CDTF">2023-01-16T07:02:59Z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0D0F4FECAC434C07A6A5AC210F6DB622</vt:lpwstr>
  </property>
</Properties>
</file>