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3D6B">
      <w:pPr>
        <w:ind w:firstLine="1572"/>
        <w:rPr>
          <w:rFonts w:hint="eastAsia" w:ascii="宋体" w:hAnsi="宋体"/>
          <w:b/>
          <w:color w:val="auto"/>
          <w:w w:val="150"/>
          <w:sz w:val="52"/>
          <w:highlight w:val="none"/>
        </w:rPr>
      </w:pPr>
    </w:p>
    <w:p w14:paraId="5B6F5013">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55C7C49E">
      <w:pPr>
        <w:rPr>
          <w:rFonts w:hint="eastAsia" w:ascii="宋体" w:hAnsi="宋体"/>
          <w:b/>
          <w:bCs/>
          <w:color w:val="auto"/>
          <w:sz w:val="48"/>
          <w:szCs w:val="48"/>
          <w:highlight w:val="none"/>
        </w:rPr>
      </w:pPr>
    </w:p>
    <w:p w14:paraId="64940769">
      <w:pPr>
        <w:rPr>
          <w:rFonts w:hint="eastAsia" w:ascii="宋体" w:hAnsi="宋体"/>
          <w:color w:val="auto"/>
          <w:sz w:val="24"/>
          <w:highlight w:val="none"/>
        </w:rPr>
      </w:pPr>
    </w:p>
    <w:p w14:paraId="503C98AD">
      <w:pPr>
        <w:tabs>
          <w:tab w:val="left" w:pos="1140"/>
        </w:tabs>
        <w:ind w:firstLine="1510" w:firstLineChars="472"/>
        <w:rPr>
          <w:rFonts w:ascii="宋体" w:hAnsi="宋体"/>
          <w:color w:val="auto"/>
          <w:sz w:val="32"/>
          <w:highlight w:val="none"/>
        </w:rPr>
      </w:pPr>
    </w:p>
    <w:p w14:paraId="4AF2A728">
      <w:pPr>
        <w:pStyle w:val="14"/>
        <w:rPr>
          <w:color w:val="auto"/>
          <w:highlight w:val="none"/>
        </w:rPr>
      </w:pPr>
    </w:p>
    <w:p w14:paraId="6B7B8067">
      <w:pPr>
        <w:rPr>
          <w:color w:val="auto"/>
          <w:highlight w:val="none"/>
        </w:rPr>
      </w:pPr>
    </w:p>
    <w:p w14:paraId="2C6A0909">
      <w:pPr>
        <w:spacing w:line="360" w:lineRule="auto"/>
        <w:ind w:firstLine="1446" w:firstLineChars="400"/>
        <w:jc w:val="left"/>
        <w:rPr>
          <w:rFonts w:hint="default" w:ascii="宋体" w:hAnsi="宋体"/>
          <w:b/>
          <w:bCs/>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eastAsia="zh-CN"/>
        </w:rPr>
        <w:t>：</w:t>
      </w:r>
      <w:r>
        <w:rPr>
          <w:rFonts w:hint="eastAsia" w:ascii="宋体" w:hAnsi="宋体" w:eastAsia="宋体" w:cs="宋体"/>
          <w:b/>
          <w:bCs/>
          <w:i w:val="0"/>
          <w:iCs w:val="0"/>
          <w:caps w:val="0"/>
          <w:color w:val="333333"/>
          <w:spacing w:val="0"/>
          <w:sz w:val="36"/>
          <w:szCs w:val="36"/>
          <w:u w:val="single"/>
          <w:shd w:val="clear" w:fill="FFFFFF"/>
        </w:rPr>
        <w:t>HQZCCG202400</w:t>
      </w:r>
      <w:r>
        <w:rPr>
          <w:rFonts w:hint="eastAsia" w:ascii="宋体" w:hAnsi="宋体" w:eastAsia="宋体" w:cs="宋体"/>
          <w:b/>
          <w:bCs/>
          <w:i w:val="0"/>
          <w:iCs w:val="0"/>
          <w:caps w:val="0"/>
          <w:color w:val="333333"/>
          <w:spacing w:val="0"/>
          <w:sz w:val="36"/>
          <w:szCs w:val="36"/>
          <w:u w:val="single"/>
          <w:shd w:val="clear" w:fill="FFFFFF"/>
          <w:lang w:val="en-US" w:eastAsia="zh-CN"/>
        </w:rPr>
        <w:t xml:space="preserve">3 </w:t>
      </w:r>
    </w:p>
    <w:p w14:paraId="075BE93B">
      <w:pPr>
        <w:ind w:left="3243" w:leftChars="684" w:hanging="1807" w:hangingChars="500"/>
        <w:jc w:val="left"/>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u w:val="single"/>
          <w:lang w:val="en-US" w:eastAsia="zh-CN"/>
        </w:rPr>
        <w:t xml:space="preserve">2024年泉州师范学院建筑电气消防安全检测服务采购项目 </w:t>
      </w:r>
    </w:p>
    <w:p w14:paraId="08571A87">
      <w:pPr>
        <w:rPr>
          <w:rFonts w:hint="eastAsia" w:ascii="宋体" w:hAnsi="宋体"/>
          <w:color w:val="auto"/>
          <w:sz w:val="24"/>
          <w:highlight w:val="none"/>
        </w:rPr>
      </w:pPr>
    </w:p>
    <w:p w14:paraId="3BA6A832">
      <w:pPr>
        <w:rPr>
          <w:rFonts w:hint="eastAsia" w:ascii="宋体" w:hAnsi="宋体"/>
          <w:color w:val="auto"/>
          <w:highlight w:val="none"/>
        </w:rPr>
      </w:pPr>
    </w:p>
    <w:p w14:paraId="34E6A6C2">
      <w:pPr>
        <w:rPr>
          <w:rFonts w:hint="eastAsia" w:ascii="宋体" w:hAnsi="宋体"/>
          <w:color w:val="auto"/>
          <w:highlight w:val="none"/>
        </w:rPr>
      </w:pPr>
    </w:p>
    <w:p w14:paraId="4D889309">
      <w:pPr>
        <w:rPr>
          <w:rFonts w:ascii="宋体" w:hAnsi="宋体"/>
          <w:color w:val="auto"/>
          <w:highlight w:val="none"/>
        </w:rPr>
      </w:pPr>
    </w:p>
    <w:p w14:paraId="58420DED">
      <w:pPr>
        <w:ind w:firstLine="1792" w:firstLineChars="498"/>
        <w:rPr>
          <w:rFonts w:hint="eastAsia" w:ascii="宋体" w:hAnsi="宋体"/>
          <w:color w:val="auto"/>
          <w:sz w:val="36"/>
          <w:highlight w:val="none"/>
        </w:rPr>
      </w:pPr>
    </w:p>
    <w:p w14:paraId="3F28C2D9">
      <w:pPr>
        <w:pStyle w:val="14"/>
        <w:rPr>
          <w:rFonts w:hint="eastAsia"/>
          <w:color w:val="auto"/>
          <w:highlight w:val="none"/>
        </w:rPr>
      </w:pPr>
    </w:p>
    <w:p w14:paraId="55437AE6">
      <w:pPr>
        <w:rPr>
          <w:rFonts w:hint="eastAsia" w:ascii="宋体" w:hAnsi="宋体"/>
          <w:color w:val="auto"/>
          <w:sz w:val="36"/>
          <w:highlight w:val="none"/>
        </w:rPr>
      </w:pPr>
    </w:p>
    <w:p w14:paraId="1BB7F699">
      <w:pPr>
        <w:jc w:val="center"/>
        <w:outlineLvl w:val="9"/>
        <w:rPr>
          <w:rFonts w:hint="default" w:ascii="宋体" w:hAnsi="宋体" w:eastAsia="宋体"/>
          <w:b/>
          <w:color w:val="000000" w:themeColor="text1"/>
          <w:sz w:val="36"/>
          <w:szCs w:val="36"/>
          <w:highlight w:val="none"/>
          <w:u w:val="none"/>
          <w:lang w:val="en-US" w:eastAsia="zh-CN"/>
          <w14:textFill>
            <w14:solidFill>
              <w14:schemeClr w14:val="tx1"/>
            </w14:solidFill>
          </w14:textFill>
        </w:rPr>
      </w:pPr>
      <w:r>
        <w:rPr>
          <w:rFonts w:hint="eastAsia" w:ascii="宋体" w:hAnsi="宋体"/>
          <w:b/>
          <w:color w:val="000000" w:themeColor="text1"/>
          <w:sz w:val="36"/>
          <w:szCs w:val="36"/>
          <w:highlight w:val="none"/>
          <w:u w:val="none"/>
          <w:lang w:val="en-US" w:eastAsia="zh-CN"/>
          <w14:textFill>
            <w14:solidFill>
              <w14:schemeClr w14:val="tx1"/>
            </w14:solidFill>
          </w14:textFill>
        </w:rPr>
        <w:t>泉州师范学院后勤管理处</w:t>
      </w:r>
    </w:p>
    <w:p w14:paraId="79A3051E">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4</w:t>
      </w:r>
      <w:r>
        <w:rPr>
          <w:rFonts w:hint="eastAsia" w:ascii="宋体" w:hAnsi="宋体"/>
          <w:b/>
          <w:color w:val="auto"/>
          <w:sz w:val="36"/>
          <w:szCs w:val="36"/>
          <w:highlight w:val="none"/>
        </w:rPr>
        <w:t>月</w:t>
      </w:r>
    </w:p>
    <w:p w14:paraId="3019085F">
      <w:pPr>
        <w:pStyle w:val="2"/>
        <w:rPr>
          <w:rFonts w:hint="eastAsia"/>
        </w:rPr>
      </w:pPr>
    </w:p>
    <w:p w14:paraId="402EB96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3345AC4">
          <w:pPr>
            <w:spacing w:before="0" w:beforeLines="0" w:after="0" w:afterLines="0" w:line="240" w:lineRule="auto"/>
            <w:ind w:left="0" w:leftChars="0" w:right="0" w:rightChars="0" w:firstLine="0" w:firstLineChars="0"/>
            <w:jc w:val="center"/>
            <w:rPr>
              <w:color w:val="auto"/>
              <w:highlight w:val="none"/>
            </w:rPr>
          </w:pPr>
        </w:p>
        <w:p w14:paraId="4F0B888E">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21C9B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67D69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7B44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06AE7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D9181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D70BE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3313D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E75E3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AC611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F6E4C3">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60B92F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B29EF10">
      <w:pPr>
        <w:rPr>
          <w:rFonts w:hint="eastAsia"/>
          <w:color w:val="auto"/>
          <w:highlight w:val="none"/>
        </w:rPr>
      </w:pPr>
    </w:p>
    <w:p w14:paraId="2B74EBD7">
      <w:pPr>
        <w:rPr>
          <w:rFonts w:hint="eastAsia"/>
          <w:color w:val="auto"/>
          <w:highlight w:val="none"/>
        </w:rPr>
      </w:pPr>
    </w:p>
    <w:p w14:paraId="6434F86F">
      <w:pPr>
        <w:rPr>
          <w:rFonts w:hint="eastAsia"/>
          <w:color w:val="auto"/>
          <w:highlight w:val="none"/>
        </w:rPr>
      </w:pPr>
    </w:p>
    <w:p w14:paraId="1A806D43">
      <w:pPr>
        <w:rPr>
          <w:rFonts w:hint="eastAsia"/>
          <w:color w:val="auto"/>
          <w:highlight w:val="none"/>
        </w:rPr>
      </w:pPr>
    </w:p>
    <w:p w14:paraId="69489F02">
      <w:pPr>
        <w:rPr>
          <w:rFonts w:hint="eastAsia"/>
          <w:color w:val="auto"/>
          <w:highlight w:val="none"/>
        </w:rPr>
      </w:pPr>
    </w:p>
    <w:p w14:paraId="56419CF3">
      <w:pPr>
        <w:rPr>
          <w:rFonts w:hint="eastAsia"/>
          <w:color w:val="auto"/>
          <w:highlight w:val="none"/>
        </w:rPr>
      </w:pPr>
    </w:p>
    <w:p w14:paraId="7FBA3240">
      <w:pPr>
        <w:rPr>
          <w:rFonts w:hint="eastAsia"/>
          <w:color w:val="auto"/>
          <w:highlight w:val="none"/>
        </w:rPr>
      </w:pPr>
    </w:p>
    <w:p w14:paraId="2E9F6110">
      <w:pPr>
        <w:rPr>
          <w:rFonts w:hint="eastAsia"/>
          <w:color w:val="auto"/>
          <w:highlight w:val="none"/>
        </w:rPr>
      </w:pPr>
    </w:p>
    <w:p w14:paraId="3306201A">
      <w:pPr>
        <w:pStyle w:val="14"/>
        <w:rPr>
          <w:rFonts w:hint="eastAsia"/>
          <w:color w:val="auto"/>
          <w:highlight w:val="none"/>
        </w:rPr>
      </w:pPr>
    </w:p>
    <w:p w14:paraId="09A28B3D">
      <w:pPr>
        <w:rPr>
          <w:rFonts w:hint="eastAsia"/>
          <w:color w:val="auto"/>
          <w:highlight w:val="none"/>
        </w:rPr>
      </w:pPr>
    </w:p>
    <w:p w14:paraId="6B65DBDD">
      <w:pPr>
        <w:pStyle w:val="14"/>
        <w:rPr>
          <w:rFonts w:hint="eastAsia"/>
          <w:color w:val="auto"/>
          <w:highlight w:val="none"/>
        </w:rPr>
      </w:pPr>
    </w:p>
    <w:p w14:paraId="56243E31">
      <w:pPr>
        <w:rPr>
          <w:rFonts w:hint="eastAsia"/>
          <w:color w:val="auto"/>
          <w:highlight w:val="none"/>
        </w:rPr>
      </w:pPr>
    </w:p>
    <w:p w14:paraId="35A1A6E0">
      <w:pPr>
        <w:pStyle w:val="2"/>
        <w:rPr>
          <w:rFonts w:hint="eastAsia"/>
          <w:color w:val="auto"/>
          <w:highlight w:val="none"/>
        </w:rPr>
      </w:pPr>
    </w:p>
    <w:p w14:paraId="6DD842E3">
      <w:pPr>
        <w:pStyle w:val="2"/>
        <w:rPr>
          <w:rFonts w:hint="eastAsia"/>
          <w:color w:val="auto"/>
          <w:highlight w:val="none"/>
        </w:rPr>
      </w:pPr>
    </w:p>
    <w:p w14:paraId="4606D08D">
      <w:pPr>
        <w:pStyle w:val="2"/>
        <w:rPr>
          <w:rFonts w:hint="eastAsia"/>
          <w:color w:val="auto"/>
          <w:highlight w:val="none"/>
        </w:rPr>
      </w:pPr>
    </w:p>
    <w:p w14:paraId="2E3440F7">
      <w:pPr>
        <w:pStyle w:val="2"/>
        <w:rPr>
          <w:rFonts w:hint="eastAsia"/>
          <w:color w:val="auto"/>
          <w:highlight w:val="none"/>
        </w:rPr>
      </w:pPr>
    </w:p>
    <w:p w14:paraId="14CCAA4D">
      <w:pPr>
        <w:pStyle w:val="2"/>
        <w:rPr>
          <w:rFonts w:hint="eastAsia"/>
          <w:color w:val="auto"/>
          <w:highlight w:val="none"/>
        </w:rPr>
      </w:pPr>
    </w:p>
    <w:p w14:paraId="4A95E746">
      <w:pPr>
        <w:pStyle w:val="2"/>
        <w:rPr>
          <w:rFonts w:hint="eastAsia"/>
          <w:color w:val="auto"/>
          <w:highlight w:val="none"/>
        </w:rPr>
      </w:pPr>
    </w:p>
    <w:p w14:paraId="2C466F0E">
      <w:pPr>
        <w:pStyle w:val="2"/>
        <w:rPr>
          <w:rFonts w:hint="eastAsia"/>
          <w:color w:val="auto"/>
          <w:highlight w:val="none"/>
        </w:rPr>
      </w:pPr>
    </w:p>
    <w:p w14:paraId="5B322EDF">
      <w:pPr>
        <w:pStyle w:val="3"/>
        <w:spacing w:before="0" w:after="0" w:line="360" w:lineRule="auto"/>
        <w:jc w:val="center"/>
        <w:rPr>
          <w:rFonts w:hint="eastAsia" w:ascii="宋体" w:hAnsi="宋体" w:eastAsia="宋体"/>
          <w:color w:val="auto"/>
          <w:sz w:val="36"/>
          <w:szCs w:val="36"/>
          <w:highlight w:val="none"/>
        </w:rPr>
      </w:pPr>
      <w:bookmarkStart w:id="0" w:name="_Toc18223"/>
      <w:bookmarkStart w:id="1" w:name="_Toc10914"/>
      <w:bookmarkStart w:id="2" w:name="_Toc26208"/>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46336D0B">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54513051"/>
      <w:bookmarkStart w:id="6" w:name="_Toc35622007"/>
      <w:bookmarkStart w:id="7" w:name="_Toc108257590"/>
      <w:bookmarkStart w:id="8" w:name="_Toc3785637"/>
      <w:bookmarkStart w:id="9" w:name="_Toc34789935"/>
      <w:bookmarkStart w:id="10" w:name="_Toc35941127"/>
      <w:bookmarkStart w:id="11" w:name="_Toc35107772"/>
      <w:bookmarkStart w:id="12" w:name="_Toc105389203"/>
      <w:bookmarkStart w:id="13" w:name="_Toc53335577"/>
      <w:bookmarkStart w:id="14" w:name="_Toc108257116"/>
      <w:bookmarkStart w:id="15" w:name="_Toc93397582"/>
      <w:bookmarkStart w:id="16" w:name="_Toc108257466"/>
      <w:bookmarkStart w:id="17" w:name="_Toc34703823"/>
      <w:bookmarkStart w:id="18" w:name="_Toc35599967"/>
      <w:bookmarkStart w:id="19" w:name="_Toc40761347"/>
      <w:bookmarkStart w:id="20" w:name="_Toc53570175"/>
      <w:bookmarkStart w:id="21" w:name="_Toc35742634"/>
      <w:bookmarkStart w:id="22" w:name="_Toc93397984"/>
      <w:bookmarkStart w:id="23" w:name="_Toc3785461"/>
      <w:bookmarkStart w:id="24" w:name="_Toc3785513"/>
      <w:bookmarkStart w:id="25" w:name="_Toc35071897"/>
      <w:bookmarkStart w:id="26" w:name="_Toc3785675"/>
      <w:bookmarkStart w:id="27" w:name="_Toc425276503"/>
      <w:bookmarkStart w:id="28" w:name="_Toc33775520"/>
      <w:bookmarkStart w:id="29" w:name="_Toc35222536"/>
      <w:bookmarkStart w:id="30" w:name="_Toc36123671"/>
      <w:bookmarkStart w:id="31" w:name="_Toc35068743"/>
      <w:bookmarkStart w:id="32" w:name="_Toc34664278"/>
      <w:bookmarkStart w:id="33" w:name="_Toc98731630"/>
      <w:bookmarkStart w:id="34" w:name="_Toc98672988"/>
      <w:bookmarkStart w:id="35" w:name="_Toc108260365"/>
      <w:bookmarkStart w:id="36" w:name="_Toc36146204"/>
      <w:bookmarkStart w:id="37" w:name="_Toc34745149"/>
      <w:bookmarkStart w:id="38" w:name="_Toc108257397"/>
      <w:bookmarkStart w:id="39" w:name="_Toc60130052"/>
      <w:bookmarkStart w:id="40" w:name="_Toc87857945"/>
      <w:bookmarkStart w:id="41" w:name="_Toc33953164"/>
      <w:r>
        <w:rPr>
          <w:rFonts w:hint="eastAsia" w:ascii="宋体" w:hAnsi="宋体"/>
          <w:i w:val="0"/>
          <w:iCs w:val="0"/>
          <w:color w:val="000000" w:themeColor="text1"/>
          <w:sz w:val="24"/>
          <w:szCs w:val="24"/>
          <w:highlight w:val="none"/>
          <w:u w:val="single"/>
          <w:lang w:val="en-US" w:eastAsia="zh-CN"/>
          <w14:textFill>
            <w14:solidFill>
              <w14:schemeClr w14:val="tx1"/>
            </w14:solidFill>
          </w14:textFill>
        </w:rPr>
        <w:t xml:space="preserve"> 泉州师范学院后勤管理处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4BD4409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72A08D6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i w:val="0"/>
          <w:iCs w:val="0"/>
          <w:caps w:val="0"/>
          <w:color w:val="333333"/>
          <w:spacing w:val="0"/>
          <w:sz w:val="24"/>
          <w:szCs w:val="24"/>
          <w:u w:val="single"/>
          <w:shd w:val="clear" w:fill="FFFFFF"/>
        </w:rPr>
        <w:t>HQZCCG202400</w:t>
      </w:r>
      <w:r>
        <w:rPr>
          <w:rFonts w:hint="eastAsia" w:ascii="宋体" w:hAnsi="宋体" w:eastAsia="宋体" w:cs="宋体"/>
          <w:b w:val="0"/>
          <w:bCs/>
          <w:i w:val="0"/>
          <w:iCs w:val="0"/>
          <w:caps w:val="0"/>
          <w:color w:val="333333"/>
          <w:spacing w:val="0"/>
          <w:sz w:val="24"/>
          <w:szCs w:val="24"/>
          <w:u w:val="single"/>
          <w:shd w:val="clear" w:fill="FFFFFF"/>
          <w:lang w:val="en-US" w:eastAsia="zh-CN"/>
        </w:rPr>
        <w:t>3</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p>
    <w:p w14:paraId="68EC7DF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2024年泉州师范学院建筑电气消防安全检测服务采购</w:t>
      </w:r>
      <w:r>
        <w:rPr>
          <w:rFonts w:hint="eastAsia" w:ascii="宋体" w:hAnsi="宋体"/>
          <w:color w:val="000000" w:themeColor="text1"/>
          <w:sz w:val="24"/>
          <w:szCs w:val="24"/>
          <w:highlight w:val="none"/>
          <w:u w:val="single"/>
          <w:lang w:eastAsia="zh-CN"/>
          <w14:textFill>
            <w14:solidFill>
              <w14:schemeClr w14:val="tx1"/>
            </w14:solidFill>
          </w14:textFill>
        </w:rPr>
        <w:t>项目</w:t>
      </w:r>
    </w:p>
    <w:p w14:paraId="212E25D7">
      <w:pPr>
        <w:pStyle w:val="2"/>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人民币玖万陆仟肆佰零伍元整（￥96405.00） </w:t>
      </w:r>
    </w:p>
    <w:p w14:paraId="0F2F5E28">
      <w:pPr>
        <w:keepNext w:val="0"/>
        <w:keepLines w:val="0"/>
        <w:pageBreakBefore w:val="0"/>
        <w:widowControl w:val="0"/>
        <w:kinsoku/>
        <w:wordWrap/>
        <w:overflowPunct/>
        <w:topLinePunct w:val="0"/>
        <w:autoSpaceDE/>
        <w:autoSpaceDN/>
        <w:bidi w:val="0"/>
        <w:adjustRightInd/>
        <w:snapToGrid/>
        <w:spacing w:after="157" w:afterLines="50" w:line="40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26626"/>
      <w:bookmarkStart w:id="43" w:name="_Toc13469"/>
      <w:bookmarkStart w:id="44" w:name="_Toc49170000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FD10A9E">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633778">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361DB4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97817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1A0A6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10D997">
            <w:pPr>
              <w:pStyle w:val="13"/>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3C5E740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467FF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2823B2">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2024年泉州师范学院建筑电气消防安全检测服务采购</w:t>
            </w:r>
            <w:r>
              <w:rPr>
                <w:rFonts w:hint="eastAsia" w:ascii="宋体" w:hAnsi="宋体"/>
                <w:color w:val="000000" w:themeColor="text1"/>
                <w:highlight w:val="none"/>
                <w:lang w:eastAsia="zh-CN"/>
                <w14:textFill>
                  <w14:solidFill>
                    <w14:schemeClr w14:val="tx1"/>
                  </w14:solidFill>
                </w14:textFill>
              </w:rPr>
              <w:t>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5EEE2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一项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7CAA9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96405.00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EA0AC4">
            <w:pPr>
              <w:pStyle w:val="13"/>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603F3F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276F30D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264D7F9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15506DD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F18C25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25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6F8AC10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25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9:30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818C72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non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p>
    <w:p w14:paraId="2D3B820F">
      <w:pPr>
        <w:pStyle w:val="2"/>
        <w:keepNext w:val="0"/>
        <w:keepLines w:val="0"/>
        <w:pageBreakBefore w:val="0"/>
        <w:kinsoku/>
        <w:wordWrap/>
        <w:overflowPunct/>
        <w:topLinePunct w:val="0"/>
        <w:bidi w:val="0"/>
        <w:snapToGrid/>
        <w:spacing w:line="400" w:lineRule="exact"/>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sz w:val="24"/>
          <w:szCs w:val="24"/>
          <w:highlight w:val="none"/>
          <w:u w:val="none"/>
          <w:lang w:val="en-US" w:eastAsia="zh-CN"/>
        </w:rPr>
        <w:t>凡有意参加投标者，请于公告挂网时间至2024年04月24日下午17：00时（以收到邮件时间为准）</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，将投标人资格要求中所有相关资料复印件加盖公章扫描成PDF后通过电子邮箱将报名资料发送至采购人邮箱（houqin@qztc.edu.cn）进行报名登记。</w:t>
      </w:r>
    </w:p>
    <w:p w14:paraId="5129139F">
      <w:pPr>
        <w:pStyle w:val="2"/>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报名提交材料包括报名登记表、</w:t>
      </w:r>
      <w:r>
        <w:rPr>
          <w:rFonts w:hint="eastAsia" w:ascii="宋体" w:hAnsi="宋体" w:eastAsia="宋体" w:cs="宋体"/>
          <w:color w:val="auto"/>
          <w:sz w:val="24"/>
          <w:highlight w:val="none"/>
        </w:rPr>
        <w:t>合格有效的营业执照</w:t>
      </w:r>
      <w:r>
        <w:rPr>
          <w:rFonts w:hint="eastAsia" w:ascii="宋体" w:hAnsi="宋体" w:eastAsia="宋体" w:cs="宋体"/>
          <w:color w:val="auto"/>
          <w:sz w:val="24"/>
          <w:highlight w:val="none"/>
          <w:lang w:eastAsia="zh-CN"/>
        </w:rPr>
        <w:t>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国家能源局颁发的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承装（修、试）电力设施</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四级及以上许可证扫描件</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5D6D0F59">
      <w:pPr>
        <w:pStyle w:val="2"/>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66DB0E2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泉州师范学院文科教学楼A栋117室</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w:t>
      </w:r>
    </w:p>
    <w:p w14:paraId="2CD7629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陈老师 </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0595-22919817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4B28D743">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3E91C4CB">
      <w:pPr>
        <w:adjustRightInd w:val="0"/>
        <w:snapToGrid w:val="0"/>
        <w:spacing w:line="440" w:lineRule="exact"/>
        <w:ind w:firstLine="723" w:firstLineChars="200"/>
        <w:jc w:val="center"/>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7ED7833">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C1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92227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167457B5">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89D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FA794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DB63258">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泉州师范学院后勤管理处</w:t>
            </w:r>
          </w:p>
          <w:p w14:paraId="62A0E790">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05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463F17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7632AC4F">
            <w:pPr>
              <w:keepNext w:val="0"/>
              <w:keepLines w:val="0"/>
              <w:pageBreakBefore w:val="0"/>
              <w:widowControl w:val="0"/>
              <w:kinsoku/>
              <w:wordWrap/>
              <w:overflowPunct/>
              <w:topLinePunct w:val="0"/>
              <w:bidi w:val="0"/>
              <w:snapToGrid/>
              <w:spacing w:line="360" w:lineRule="auto"/>
              <w:textAlignment w:val="auto"/>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9E657BB">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5CF62F6C">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5A10DF27">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387CCD4">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1DEAD066">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5、具有良好的商业信誉和健全的财务会计制度：投标人是法人的提供2022年度经审计的财务报告或 2023年以来基本开户银行出具的资信证明。部分其他组织和自然人没有经审计的财务报告，可以提供2023年以来银行出具的资信证明；</w:t>
            </w:r>
          </w:p>
          <w:p w14:paraId="2E246490">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6、具有履行合同所必需的设备和专业技术能力：提供承诺书或人员、设备一览表；</w:t>
            </w:r>
          </w:p>
          <w:p w14:paraId="03280B0D">
            <w:pPr>
              <w:pStyle w:val="16"/>
              <w:keepNext w:val="0"/>
              <w:keepLines w:val="0"/>
              <w:pageBreakBefore w:val="0"/>
              <w:widowControl w:val="0"/>
              <w:kinsoku/>
              <w:wordWrap/>
              <w:overflowPunct/>
              <w:topLinePunct w:val="0"/>
              <w:bidi w:val="0"/>
              <w:snapToGrid/>
              <w:spacing w:after="0" w:line="360" w:lineRule="auto"/>
              <w:ind w:firstLine="0" w:firstLineChars="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7、有依法缴纳税收和社会保障资金的良好记录：提供2023年01月（含01月）后至今任意3个月依法缴纳社会保险的相关证明材料（如社保局出具的书面证明或网银缴费凭证或社保缴纳凭证票据等），提供2023年01月（含01月）后至今任意3个月依法缴纳税收的相关证明材料（如税务局出具的书面证明或网银缴费凭证或完税凭证票据等等）；</w:t>
            </w:r>
          </w:p>
          <w:p w14:paraId="7E4A563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报价供应商</w:t>
            </w:r>
            <w:r>
              <w:rPr>
                <w:rFonts w:hint="eastAsia" w:ascii="宋体" w:hAnsi="宋体" w:eastAsia="宋体" w:cs="宋体"/>
                <w:color w:val="auto"/>
                <w:sz w:val="24"/>
                <w:szCs w:val="24"/>
                <w:highlight w:val="none"/>
              </w:rPr>
              <w:t>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eastAsia="宋体" w:cs="宋体"/>
                <w:color w:val="auto"/>
                <w:sz w:val="24"/>
                <w:szCs w:val="24"/>
                <w:highlight w:val="none"/>
              </w:rPr>
              <w:t>；</w:t>
            </w:r>
          </w:p>
          <w:p w14:paraId="7AD940FD">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9、法律、行政法规规定的其他条件：根据《财政部关于在政府采购活动中查询及使用信用记录有关问题的通知》（财库〔2016〕125 号）规定，竞争性磋商人需自行承诺“未在“信用中国”网站上及中国政府采购网上被列入失信被执行人、重大税收违法案件当事人名单、政府采购严重违法失信行为记录名单，如有被列入的情况，将视为无效投标”；</w:t>
            </w:r>
          </w:p>
          <w:p w14:paraId="06E8883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、国家能源局颁发的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承装（修、试）电力设施</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四级及以上许可证的复印件</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2A735527">
            <w:pPr>
              <w:pStyle w:val="2"/>
              <w:keepNext w:val="0"/>
              <w:keepLines w:val="0"/>
              <w:pageBreakBefore w:val="0"/>
              <w:widowControl w:val="0"/>
              <w:kinsoku/>
              <w:wordWrap/>
              <w:overflowPunct/>
              <w:topLinePunct w:val="0"/>
              <w:bidi w:val="0"/>
              <w:snapToGrid/>
              <w:spacing w:line="360" w:lineRule="auto"/>
              <w:textAlignment w:val="auto"/>
              <w:rPr>
                <w:rFonts w:hint="default" w:eastAsia="宋体"/>
                <w:b w:val="0"/>
                <w:bCs w:val="0"/>
                <w:lang w:val="en-US" w:eastAsia="zh-CN"/>
              </w:rPr>
            </w:pP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11、对面积超过100000m2以上的项目进行过建筑电气消防安全检测，提供相关的合同复印件。</w:t>
            </w:r>
          </w:p>
          <w:p w14:paraId="3A8974AF">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EC1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7659A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2CE776B4">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14:paraId="554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7AD0D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09D839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履约保证金：无需缴纳履约保证金。</w:t>
            </w:r>
          </w:p>
        </w:tc>
      </w:tr>
      <w:tr w14:paraId="507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B3498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6DCD267">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0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E8741A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787D6BB4">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w:t>
            </w:r>
            <w:r>
              <w:rPr>
                <w:rFonts w:hint="eastAsia" w:ascii="宋体" w:hAnsi="宋体"/>
                <w:b w:val="0"/>
                <w:bCs/>
                <w:color w:val="000000" w:themeColor="text1"/>
                <w:sz w:val="24"/>
                <w:highlight w:val="none"/>
                <w14:textFill>
                  <w14:solidFill>
                    <w14:schemeClr w14:val="tx1"/>
                  </w14:solidFill>
                </w14:textFill>
              </w:rPr>
              <w:t>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14:paraId="0C0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0F407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738FC90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61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23B6A1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5D2704CA">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07F9A25">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531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E9322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E701AC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A3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69660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B918222">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9B2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A9819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6917B03A">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F6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B2160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9498136">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446DFB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972C2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499AC61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D72809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7A8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CB9988">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3CC2928">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ABCBF2F">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D1ECA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2BA4178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977CA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B69261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47B2CC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F52488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83F55E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3BC34BEC">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49A1390C">
      <w:pPr>
        <w:pStyle w:val="3"/>
        <w:spacing w:before="120" w:after="120" w:line="440" w:lineRule="exact"/>
        <w:jc w:val="center"/>
        <w:rPr>
          <w:rFonts w:hint="eastAsia" w:ascii="宋体" w:hAnsi="宋体" w:eastAsia="宋体"/>
          <w:color w:val="auto"/>
          <w:sz w:val="36"/>
          <w:szCs w:val="36"/>
          <w:highlight w:val="none"/>
        </w:rPr>
      </w:pPr>
      <w:bookmarkStart w:id="47" w:name="_Toc34"/>
      <w:bookmarkStart w:id="48" w:name="_Toc1931"/>
    </w:p>
    <w:p w14:paraId="63789234">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5A93EDC9">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p w14:paraId="35247911">
      <w:pPr>
        <w:numPr>
          <w:ilvl w:val="0"/>
          <w:numId w:val="0"/>
        </w:num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（一）学校基本信息</w:t>
      </w:r>
    </w:p>
    <w:p w14:paraId="66D76A56">
      <w:pPr>
        <w:numPr>
          <w:ilvl w:val="0"/>
          <w:numId w:val="0"/>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泉州师范学院</w:t>
      </w:r>
      <w:r>
        <w:rPr>
          <w:rFonts w:hint="eastAsia" w:ascii="宋体" w:hAnsi="宋体" w:eastAsia="宋体" w:cs="宋体"/>
          <w:sz w:val="24"/>
          <w:szCs w:val="24"/>
        </w:rPr>
        <w:t>建筑面积</w:t>
      </w:r>
      <w:r>
        <w:rPr>
          <w:rFonts w:hint="eastAsia" w:ascii="宋体" w:hAnsi="宋体" w:eastAsia="宋体" w:cs="宋体"/>
          <w:sz w:val="24"/>
          <w:szCs w:val="24"/>
          <w:lang w:val="en-US" w:eastAsia="zh-CN"/>
        </w:rPr>
        <w:t>419152</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ascii="宋体" w:hAnsi="宋体" w:eastAsia="宋体" w:cs="宋体"/>
          <w:sz w:val="24"/>
          <w:szCs w:val="24"/>
          <w:lang w:eastAsia="zh-CN"/>
        </w:rPr>
        <w:t>主校区</w:t>
      </w:r>
      <w:r>
        <w:rPr>
          <w:rFonts w:hint="eastAsia" w:ascii="宋体" w:hAnsi="宋体" w:eastAsia="宋体" w:cs="宋体"/>
          <w:sz w:val="24"/>
          <w:szCs w:val="24"/>
          <w:lang w:val="en-US" w:eastAsia="zh-CN"/>
        </w:rPr>
        <w:t>381352</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ascii="宋体" w:hAnsi="宋体" w:eastAsia="宋体" w:cs="宋体"/>
          <w:sz w:val="24"/>
          <w:szCs w:val="24"/>
          <w:lang w:eastAsia="zh-CN"/>
        </w:rPr>
        <w:t>南安校区</w:t>
      </w:r>
      <w:r>
        <w:rPr>
          <w:rFonts w:hint="eastAsia" w:ascii="宋体" w:hAnsi="宋体" w:eastAsia="宋体" w:cs="宋体"/>
          <w:sz w:val="24"/>
          <w:szCs w:val="24"/>
          <w:lang w:val="en-US" w:eastAsia="zh-CN"/>
        </w:rPr>
        <w:t>37800</w:t>
      </w:r>
      <w:r>
        <w:rPr>
          <w:rFonts w:hint="eastAsia" w:ascii="宋体" w:hAnsi="宋体" w:eastAsia="宋体" w:cs="宋体"/>
          <w:sz w:val="24"/>
          <w:szCs w:val="24"/>
        </w:rPr>
        <w:t>m2）</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7"/>
        <w:gridCol w:w="2875"/>
      </w:tblGrid>
      <w:tr w14:paraId="1BE0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352" w:type="dxa"/>
            <w:gridSpan w:val="2"/>
            <w:tcBorders>
              <w:top w:val="nil"/>
              <w:left w:val="nil"/>
              <w:bottom w:val="nil"/>
              <w:right w:val="nil"/>
            </w:tcBorders>
            <w:shd w:val="clear" w:color="auto" w:fill="auto"/>
            <w:vAlign w:val="center"/>
          </w:tcPr>
          <w:p w14:paraId="772942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rPr>
            </w:pPr>
            <w:r>
              <w:rPr>
                <w:rFonts w:hint="default" w:ascii="Times New Roman" w:hAnsi="Times New Roman" w:eastAsia="宋体" w:cs="Times New Roman"/>
                <w:b/>
                <w:bCs/>
                <w:i w:val="0"/>
                <w:iCs w:val="0"/>
                <w:color w:val="000000"/>
                <w:kern w:val="0"/>
                <w:sz w:val="32"/>
                <w:szCs w:val="32"/>
                <w:u w:val="none"/>
                <w:lang w:val="en-US" w:eastAsia="zh-CN" w:bidi="ar"/>
              </w:rPr>
              <w:t>202</w:t>
            </w:r>
            <w:r>
              <w:rPr>
                <w:rFonts w:hint="eastAsia" w:ascii="Times New Roman" w:hAnsi="Times New Roman" w:cs="Times New Roman"/>
                <w:b/>
                <w:bCs/>
                <w:i w:val="0"/>
                <w:iCs w:val="0"/>
                <w:color w:val="000000"/>
                <w:kern w:val="0"/>
                <w:sz w:val="32"/>
                <w:szCs w:val="32"/>
                <w:u w:val="none"/>
                <w:lang w:val="en-US" w:eastAsia="zh-CN" w:bidi="ar"/>
              </w:rPr>
              <w:t>4</w:t>
            </w:r>
            <w:r>
              <w:rPr>
                <w:rStyle w:val="25"/>
                <w:sz w:val="32"/>
                <w:szCs w:val="32"/>
                <w:lang w:val="en-US" w:eastAsia="zh-CN" w:bidi="ar"/>
              </w:rPr>
              <w:t>年泉州师范学院主校区（校本部）建筑面积统计表</w:t>
            </w:r>
          </w:p>
        </w:tc>
      </w:tr>
      <w:tr w14:paraId="67CD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477" w:type="dxa"/>
            <w:tcBorders>
              <w:top w:val="nil"/>
              <w:left w:val="nil"/>
              <w:bottom w:val="nil"/>
              <w:right w:val="nil"/>
            </w:tcBorders>
            <w:shd w:val="clear" w:color="auto" w:fill="auto"/>
            <w:vAlign w:val="center"/>
          </w:tcPr>
          <w:p w14:paraId="143AEC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单位:平方米</w:t>
            </w:r>
          </w:p>
        </w:tc>
        <w:tc>
          <w:tcPr>
            <w:tcW w:w="2875" w:type="dxa"/>
            <w:tcBorders>
              <w:top w:val="nil"/>
              <w:left w:val="nil"/>
              <w:bottom w:val="nil"/>
              <w:right w:val="nil"/>
            </w:tcBorders>
            <w:shd w:val="clear" w:color="auto" w:fill="auto"/>
            <w:vAlign w:val="center"/>
          </w:tcPr>
          <w:p w14:paraId="1719E613">
            <w:pPr>
              <w:jc w:val="center"/>
              <w:rPr>
                <w:rFonts w:hint="eastAsia" w:ascii="宋体" w:hAnsi="宋体" w:eastAsia="宋体" w:cs="宋体"/>
                <w:b/>
                <w:bCs/>
                <w:i w:val="0"/>
                <w:iCs w:val="0"/>
                <w:color w:val="000000"/>
                <w:sz w:val="20"/>
                <w:szCs w:val="20"/>
                <w:u w:val="none"/>
              </w:rPr>
            </w:pPr>
          </w:p>
        </w:tc>
      </w:tr>
      <w:tr w14:paraId="7E01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vMerge w:val="restart"/>
            <w:tcBorders>
              <w:top w:val="single" w:color="000000" w:sz="4" w:space="0"/>
              <w:left w:val="single" w:color="000000" w:sz="4" w:space="0"/>
              <w:bottom w:val="single" w:color="000000" w:sz="4" w:space="0"/>
              <w:right w:val="single" w:color="000000" w:sz="4" w:space="0"/>
              <w:tl2br w:val="single" w:color="000000" w:sz="8" w:space="0"/>
            </w:tcBorders>
            <w:shd w:val="clear" w:color="auto" w:fill="auto"/>
            <w:vAlign w:val="center"/>
          </w:tcPr>
          <w:p w14:paraId="3EE767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项目</w:t>
            </w:r>
          </w:p>
          <w:p w14:paraId="46785279">
            <w:pPr>
              <w:bidi w:val="0"/>
              <w:rPr>
                <w:rFonts w:hint="eastAsia" w:ascii="Calibri" w:hAnsi="Calibri" w:eastAsia="宋体" w:cs="Times New Roman"/>
                <w:kern w:val="2"/>
                <w:sz w:val="21"/>
                <w:szCs w:val="24"/>
                <w:lang w:val="en-US" w:eastAsia="zh-CN" w:bidi="ar-SA"/>
              </w:rPr>
            </w:pPr>
          </w:p>
          <w:p w14:paraId="7921EE60">
            <w:pPr>
              <w:bidi w:val="0"/>
              <w:rPr>
                <w:rFonts w:hint="eastAsia"/>
                <w:b/>
                <w:bCs/>
                <w:color w:val="000000"/>
                <w:lang w:val="en-US" w:eastAsia="zh-CN"/>
              </w:rPr>
            </w:pPr>
          </w:p>
          <w:p w14:paraId="647DE9B7">
            <w:pPr>
              <w:tabs>
                <w:tab w:val="left" w:pos="2128"/>
              </w:tabs>
              <w:bidi w:val="0"/>
              <w:jc w:val="left"/>
              <w:rPr>
                <w:rFonts w:hint="eastAsia"/>
                <w:lang w:val="en-US" w:eastAsia="zh-CN"/>
              </w:rPr>
            </w:pPr>
            <w:r>
              <w:rPr>
                <w:rFonts w:hint="eastAsia"/>
                <w:b/>
                <w:bCs/>
                <w:color w:val="000000"/>
                <w:lang w:val="en-US" w:eastAsia="zh-CN"/>
              </w:rPr>
              <w:tab/>
            </w:r>
            <w:r>
              <w:rPr>
                <w:rFonts w:hint="eastAsia"/>
                <w:b/>
                <w:bCs/>
                <w:color w:val="000000"/>
                <w:lang w:val="en-US" w:eastAsia="zh-CN"/>
              </w:rPr>
              <w:t>校舍名称</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B8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总面积（</w:t>
            </w:r>
            <w:r>
              <w:rPr>
                <w:rStyle w:val="26"/>
                <w:rFonts w:eastAsia="宋体"/>
                <w:b/>
                <w:bCs/>
                <w:lang w:val="en-US" w:eastAsia="zh-CN" w:bidi="ar"/>
              </w:rPr>
              <w:t>m</w:t>
            </w:r>
            <w:r>
              <w:rPr>
                <w:rStyle w:val="27"/>
                <w:rFonts w:eastAsia="宋体"/>
                <w:b/>
                <w:bCs/>
                <w:lang w:val="en-US" w:eastAsia="zh-CN" w:bidi="ar"/>
              </w:rPr>
              <w:t>2</w:t>
            </w:r>
            <w:r>
              <w:rPr>
                <w:rStyle w:val="28"/>
                <w:b/>
                <w:bCs/>
                <w:lang w:val="en-US" w:eastAsia="zh-CN" w:bidi="ar"/>
              </w:rPr>
              <w:t>）</w:t>
            </w:r>
          </w:p>
        </w:tc>
      </w:tr>
      <w:tr w14:paraId="73F2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477" w:type="dxa"/>
            <w:vMerge w:val="continue"/>
            <w:tcBorders>
              <w:top w:val="single" w:color="000000" w:sz="4" w:space="0"/>
              <w:left w:val="single" w:color="000000" w:sz="4" w:space="0"/>
              <w:bottom w:val="single" w:color="000000" w:sz="4" w:space="0"/>
              <w:right w:val="single" w:color="000000" w:sz="4" w:space="0"/>
              <w:tl2br w:val="single" w:color="000000" w:sz="8" w:space="0"/>
            </w:tcBorders>
            <w:shd w:val="clear" w:color="auto" w:fill="auto"/>
            <w:vAlign w:val="center"/>
          </w:tcPr>
          <w:p w14:paraId="6699A4D0">
            <w:pPr>
              <w:jc w:val="center"/>
              <w:rPr>
                <w:rFonts w:hint="eastAsia" w:ascii="宋体" w:hAnsi="宋体" w:eastAsia="宋体" w:cs="宋体"/>
                <w:b/>
                <w:bCs/>
                <w:i w:val="0"/>
                <w:iCs w:val="0"/>
                <w:color w:val="000000"/>
                <w:sz w:val="22"/>
                <w:szCs w:val="22"/>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3E19">
            <w:pPr>
              <w:jc w:val="center"/>
              <w:rPr>
                <w:rFonts w:hint="eastAsia" w:ascii="宋体" w:hAnsi="宋体" w:eastAsia="宋体" w:cs="宋体"/>
                <w:i w:val="0"/>
                <w:iCs w:val="0"/>
                <w:color w:val="000000"/>
                <w:sz w:val="22"/>
                <w:szCs w:val="22"/>
                <w:u w:val="none"/>
              </w:rPr>
            </w:pPr>
          </w:p>
        </w:tc>
      </w:tr>
      <w:tr w14:paraId="474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77" w:type="dxa"/>
            <w:vMerge w:val="continue"/>
            <w:tcBorders>
              <w:top w:val="single" w:color="000000" w:sz="4" w:space="0"/>
              <w:left w:val="single" w:color="000000" w:sz="4" w:space="0"/>
              <w:bottom w:val="single" w:color="000000" w:sz="4" w:space="0"/>
              <w:right w:val="single" w:color="000000" w:sz="4" w:space="0"/>
              <w:tl2br w:val="single" w:color="000000" w:sz="8" w:space="0"/>
            </w:tcBorders>
            <w:shd w:val="clear" w:color="auto" w:fill="auto"/>
            <w:vAlign w:val="center"/>
          </w:tcPr>
          <w:p w14:paraId="59B1EF60">
            <w:pPr>
              <w:jc w:val="center"/>
              <w:rPr>
                <w:rFonts w:hint="eastAsia" w:ascii="宋体" w:hAnsi="宋体" w:eastAsia="宋体" w:cs="宋体"/>
                <w:b/>
                <w:bCs/>
                <w:i w:val="0"/>
                <w:iCs w:val="0"/>
                <w:color w:val="000000"/>
                <w:sz w:val="22"/>
                <w:szCs w:val="22"/>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DE7A">
            <w:pPr>
              <w:jc w:val="center"/>
              <w:rPr>
                <w:rFonts w:hint="eastAsia" w:ascii="宋体" w:hAnsi="宋体" w:eastAsia="宋体" w:cs="宋体"/>
                <w:i w:val="0"/>
                <w:iCs w:val="0"/>
                <w:color w:val="000000"/>
                <w:sz w:val="22"/>
                <w:szCs w:val="22"/>
                <w:u w:val="none"/>
              </w:rPr>
            </w:pPr>
          </w:p>
        </w:tc>
      </w:tr>
      <w:tr w14:paraId="603D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1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文科一号</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11048</w:t>
            </w:r>
          </w:p>
        </w:tc>
      </w:tr>
      <w:tr w14:paraId="74F4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文科二号</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E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10338</w:t>
            </w:r>
          </w:p>
        </w:tc>
      </w:tr>
      <w:tr w14:paraId="06D5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3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w:t>
            </w:r>
            <w:r>
              <w:rPr>
                <w:rStyle w:val="29"/>
                <w:lang w:val="en-US" w:eastAsia="zh-CN" w:bidi="ar"/>
              </w:rPr>
              <w:t>区学生公寓</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31150</w:t>
            </w:r>
          </w:p>
        </w:tc>
      </w:tr>
      <w:tr w14:paraId="4B6E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8E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w:t>
            </w:r>
            <w:r>
              <w:rPr>
                <w:rStyle w:val="29"/>
                <w:lang w:val="en-US" w:eastAsia="zh-CN" w:bidi="ar"/>
              </w:rPr>
              <w:t>区学生公寓</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23783</w:t>
            </w:r>
          </w:p>
        </w:tc>
      </w:tr>
      <w:tr w14:paraId="6122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A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w:t>
            </w:r>
            <w:r>
              <w:rPr>
                <w:rStyle w:val="29"/>
                <w:lang w:val="en-US" w:eastAsia="zh-CN" w:bidi="ar"/>
              </w:rPr>
              <w:t>区学生公寓</w:t>
            </w:r>
            <w:r>
              <w:rPr>
                <w:rStyle w:val="30"/>
                <w:rFonts w:eastAsia="宋体"/>
                <w:lang w:val="en-US" w:eastAsia="zh-CN" w:bidi="ar"/>
              </w:rPr>
              <w:t>1—17</w:t>
            </w:r>
            <w:r>
              <w:rPr>
                <w:rStyle w:val="29"/>
                <w:lang w:val="en-US" w:eastAsia="zh-CN" w:bidi="ar"/>
              </w:rPr>
              <w:t>号楼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55717</w:t>
            </w:r>
          </w:p>
        </w:tc>
      </w:tr>
      <w:tr w14:paraId="6612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7340</w:t>
            </w:r>
          </w:p>
        </w:tc>
      </w:tr>
      <w:tr w14:paraId="48A5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现代教育技术综合楼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F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25048</w:t>
            </w:r>
          </w:p>
        </w:tc>
      </w:tr>
      <w:tr w14:paraId="475A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行政办公楼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7219</w:t>
            </w:r>
          </w:p>
        </w:tc>
      </w:tr>
      <w:tr w14:paraId="6C24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配电室</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D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r>
      <w:tr w14:paraId="3F0D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C区配电室</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r>
      <w:tr w14:paraId="1068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理工楼群配电室</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14:paraId="5A1B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A区配电室</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682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9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青年公寓楼配电室</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5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7562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青年公寓楼泵房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42A9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0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w:t>
            </w:r>
          </w:p>
        </w:tc>
      </w:tr>
      <w:tr w14:paraId="08E6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2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体育训练馆</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C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6025</w:t>
            </w:r>
          </w:p>
        </w:tc>
      </w:tr>
      <w:tr w14:paraId="2341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礼堂</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1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10839</w:t>
            </w:r>
          </w:p>
        </w:tc>
      </w:tr>
      <w:tr w14:paraId="1474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生活服务中心</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16789</w:t>
            </w:r>
          </w:p>
        </w:tc>
      </w:tr>
      <w:tr w14:paraId="4960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6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理工科教学楼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12168</w:t>
            </w:r>
          </w:p>
        </w:tc>
      </w:tr>
      <w:tr w14:paraId="55E3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8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基础实验楼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E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33007</w:t>
            </w:r>
          </w:p>
        </w:tc>
      </w:tr>
      <w:tr w14:paraId="2A90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中心实验楼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6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5428</w:t>
            </w:r>
          </w:p>
        </w:tc>
      </w:tr>
      <w:tr w14:paraId="6EE7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大学生活动中心</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417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俊秀文学院</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C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22917</w:t>
            </w:r>
          </w:p>
        </w:tc>
      </w:tr>
      <w:tr w14:paraId="689B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7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14592</w:t>
            </w:r>
          </w:p>
        </w:tc>
      </w:tr>
      <w:tr w14:paraId="47B2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6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明德体育馆</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13800</w:t>
            </w:r>
          </w:p>
        </w:tc>
      </w:tr>
      <w:tr w14:paraId="3CD4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1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实验厂房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D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300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3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青年教师公寓楼（公租房）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15848.66</w:t>
            </w:r>
          </w:p>
        </w:tc>
      </w:tr>
      <w:tr w14:paraId="44CA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C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特教大楼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1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17742.88</w:t>
            </w:r>
          </w:p>
        </w:tc>
      </w:tr>
      <w:tr w14:paraId="6C53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0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物信学院实训基地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2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6530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垃圾中转站</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228.78</w:t>
            </w:r>
          </w:p>
        </w:tc>
      </w:tr>
      <w:tr w14:paraId="58B6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C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浅水湾创业大楼</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11603.59</w:t>
            </w:r>
          </w:p>
        </w:tc>
      </w:tr>
      <w:tr w14:paraId="43B7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第二田径场看台（含主席台）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D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2867.2</w:t>
            </w:r>
          </w:p>
        </w:tc>
      </w:tr>
      <w:tr w14:paraId="1B14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E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7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381352.11</w:t>
            </w:r>
          </w:p>
        </w:tc>
      </w:tr>
    </w:tbl>
    <w:p w14:paraId="1347FE4F"/>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1"/>
        <w:gridCol w:w="2874"/>
      </w:tblGrid>
      <w:tr w14:paraId="2CE0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gridSpan w:val="2"/>
            <w:tcBorders>
              <w:top w:val="nil"/>
              <w:left w:val="nil"/>
              <w:bottom w:val="nil"/>
              <w:right w:val="nil"/>
            </w:tcBorders>
            <w:shd w:val="clear" w:color="auto" w:fill="auto"/>
            <w:vAlign w:val="center"/>
          </w:tcPr>
          <w:p w14:paraId="107D0A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36"/>
                <w:szCs w:val="36"/>
                <w:u w:val="none"/>
                <w:lang w:val="en-US" w:eastAsia="zh-CN" w:bidi="ar"/>
              </w:rPr>
              <w:t>202</w:t>
            </w:r>
            <w:r>
              <w:rPr>
                <w:rFonts w:hint="eastAsia" w:ascii="Times New Roman" w:hAnsi="Times New Roman" w:cs="Times New Roman"/>
                <w:b/>
                <w:bCs/>
                <w:i w:val="0"/>
                <w:iCs w:val="0"/>
                <w:color w:val="000000"/>
                <w:kern w:val="0"/>
                <w:sz w:val="36"/>
                <w:szCs w:val="36"/>
                <w:u w:val="none"/>
                <w:lang w:val="en-US" w:eastAsia="zh-CN" w:bidi="ar"/>
              </w:rPr>
              <w:t>4</w:t>
            </w:r>
            <w:r>
              <w:rPr>
                <w:rStyle w:val="31"/>
                <w:sz w:val="36"/>
                <w:szCs w:val="36"/>
                <w:lang w:val="en-US" w:eastAsia="zh-CN" w:bidi="ar"/>
              </w:rPr>
              <w:t>年泉州师范学院南安校区校舍建筑面积统计表</w:t>
            </w:r>
          </w:p>
        </w:tc>
      </w:tr>
      <w:tr w14:paraId="305F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2"/>
            <w:tcBorders>
              <w:top w:val="nil"/>
              <w:left w:val="nil"/>
              <w:bottom w:val="nil"/>
              <w:right w:val="nil"/>
            </w:tcBorders>
            <w:shd w:val="clear" w:color="auto" w:fill="auto"/>
            <w:vAlign w:val="center"/>
          </w:tcPr>
          <w:p w14:paraId="56285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单位：平方米</w:t>
            </w:r>
          </w:p>
        </w:tc>
      </w:tr>
      <w:tr w14:paraId="5576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81" w:type="dxa"/>
            <w:vMerge w:val="restart"/>
            <w:tcBorders>
              <w:top w:val="single" w:color="000000" w:sz="8" w:space="0"/>
              <w:left w:val="single" w:color="000000" w:sz="8" w:space="0"/>
              <w:bottom w:val="single" w:color="000000" w:sz="4" w:space="0"/>
              <w:right w:val="single" w:color="000000" w:sz="4" w:space="0"/>
              <w:tl2br w:val="single" w:color="000000" w:sz="8" w:space="0"/>
            </w:tcBorders>
            <w:shd w:val="clear" w:color="auto" w:fill="auto"/>
            <w:vAlign w:val="center"/>
          </w:tcPr>
          <w:p w14:paraId="3A9BC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项目</w:t>
            </w:r>
          </w:p>
          <w:p w14:paraId="1AABFF6A">
            <w:pPr>
              <w:bidi w:val="0"/>
              <w:rPr>
                <w:rFonts w:hint="eastAsia" w:ascii="Calibri" w:hAnsi="Calibri" w:eastAsia="宋体" w:cs="Times New Roman"/>
                <w:kern w:val="2"/>
                <w:sz w:val="21"/>
                <w:szCs w:val="24"/>
                <w:lang w:val="en-US" w:eastAsia="zh-CN" w:bidi="ar-SA"/>
              </w:rPr>
            </w:pPr>
          </w:p>
          <w:p w14:paraId="044047E5">
            <w:pPr>
              <w:bidi w:val="0"/>
              <w:rPr>
                <w:rFonts w:hint="eastAsia"/>
                <w:b/>
                <w:bCs/>
                <w:color w:val="000000"/>
                <w:lang w:val="en-US" w:eastAsia="zh-CN"/>
              </w:rPr>
            </w:pPr>
          </w:p>
          <w:p w14:paraId="6805D3B6">
            <w:pPr>
              <w:tabs>
                <w:tab w:val="left" w:pos="2128"/>
              </w:tabs>
              <w:bidi w:val="0"/>
              <w:jc w:val="left"/>
              <w:rPr>
                <w:rFonts w:hint="eastAsia" w:ascii="宋体" w:hAnsi="宋体" w:eastAsia="宋体" w:cs="宋体"/>
                <w:b/>
                <w:bCs/>
                <w:i w:val="0"/>
                <w:iCs w:val="0"/>
                <w:color w:val="000000"/>
                <w:sz w:val="32"/>
                <w:szCs w:val="32"/>
                <w:u w:val="none"/>
                <w:lang w:eastAsia="zh-CN"/>
              </w:rPr>
            </w:pPr>
            <w:r>
              <w:rPr>
                <w:rFonts w:hint="eastAsia"/>
                <w:b/>
                <w:bCs/>
                <w:color w:val="000000"/>
                <w:lang w:val="en-US" w:eastAsia="zh-CN"/>
              </w:rPr>
              <w:tab/>
            </w:r>
            <w:r>
              <w:rPr>
                <w:rFonts w:hint="eastAsia"/>
                <w:b/>
                <w:bCs/>
                <w:color w:val="000000"/>
                <w:lang w:val="en-US" w:eastAsia="zh-CN"/>
              </w:rPr>
              <w:t>校舍名称</w:t>
            </w:r>
          </w:p>
        </w:tc>
        <w:tc>
          <w:tcPr>
            <w:tcW w:w="28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D3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总面积（</w:t>
            </w:r>
            <w:r>
              <w:rPr>
                <w:rStyle w:val="26"/>
                <w:rFonts w:eastAsia="宋体"/>
                <w:b/>
                <w:bCs/>
                <w:lang w:val="en-US" w:eastAsia="zh-CN" w:bidi="ar"/>
              </w:rPr>
              <w:t>m</w:t>
            </w:r>
            <w:r>
              <w:rPr>
                <w:rStyle w:val="27"/>
                <w:rFonts w:eastAsia="宋体"/>
                <w:b/>
                <w:bCs/>
                <w:lang w:val="en-US" w:eastAsia="zh-CN" w:bidi="ar"/>
              </w:rPr>
              <w:t>2</w:t>
            </w:r>
            <w:r>
              <w:rPr>
                <w:rStyle w:val="28"/>
                <w:b/>
                <w:bCs/>
                <w:lang w:val="en-US" w:eastAsia="zh-CN" w:bidi="ar"/>
              </w:rPr>
              <w:t>）</w:t>
            </w:r>
          </w:p>
        </w:tc>
      </w:tr>
      <w:tr w14:paraId="659E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1" w:type="dxa"/>
            <w:vMerge w:val="continue"/>
            <w:tcBorders>
              <w:top w:val="single" w:color="000000" w:sz="8" w:space="0"/>
              <w:left w:val="single" w:color="000000" w:sz="8" w:space="0"/>
              <w:bottom w:val="single" w:color="000000" w:sz="4" w:space="0"/>
              <w:right w:val="single" w:color="000000" w:sz="4" w:space="0"/>
              <w:tl2br w:val="single" w:color="000000" w:sz="8" w:space="0"/>
            </w:tcBorders>
            <w:shd w:val="clear" w:color="auto" w:fill="auto"/>
            <w:vAlign w:val="center"/>
          </w:tcPr>
          <w:p w14:paraId="3A900ECF">
            <w:pPr>
              <w:jc w:val="center"/>
              <w:rPr>
                <w:rFonts w:hint="eastAsia" w:ascii="宋体" w:hAnsi="宋体" w:eastAsia="宋体" w:cs="宋体"/>
                <w:b/>
                <w:bCs/>
                <w:i w:val="0"/>
                <w:iCs w:val="0"/>
                <w:color w:val="000000"/>
                <w:sz w:val="32"/>
                <w:szCs w:val="32"/>
                <w:u w:val="none"/>
              </w:rPr>
            </w:pPr>
          </w:p>
        </w:tc>
        <w:tc>
          <w:tcPr>
            <w:tcW w:w="28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192B37">
            <w:pPr>
              <w:jc w:val="center"/>
              <w:rPr>
                <w:rFonts w:hint="eastAsia" w:ascii="宋体" w:hAnsi="宋体" w:eastAsia="宋体" w:cs="宋体"/>
                <w:i w:val="0"/>
                <w:iCs w:val="0"/>
                <w:color w:val="000000"/>
                <w:sz w:val="22"/>
                <w:szCs w:val="22"/>
                <w:u w:val="none"/>
              </w:rPr>
            </w:pPr>
          </w:p>
        </w:tc>
      </w:tr>
      <w:tr w14:paraId="083E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81" w:type="dxa"/>
            <w:vMerge w:val="continue"/>
            <w:tcBorders>
              <w:top w:val="single" w:color="000000" w:sz="8" w:space="0"/>
              <w:left w:val="single" w:color="000000" w:sz="8" w:space="0"/>
              <w:bottom w:val="single" w:color="000000" w:sz="4" w:space="0"/>
              <w:right w:val="single" w:color="000000" w:sz="4" w:space="0"/>
              <w:tl2br w:val="single" w:color="000000" w:sz="8" w:space="0"/>
            </w:tcBorders>
            <w:shd w:val="clear" w:color="auto" w:fill="auto"/>
            <w:vAlign w:val="center"/>
          </w:tcPr>
          <w:p w14:paraId="5CCD7B99">
            <w:pPr>
              <w:jc w:val="center"/>
              <w:rPr>
                <w:rFonts w:hint="eastAsia" w:ascii="宋体" w:hAnsi="宋体" w:eastAsia="宋体" w:cs="宋体"/>
                <w:b/>
                <w:bCs/>
                <w:i w:val="0"/>
                <w:iCs w:val="0"/>
                <w:color w:val="000000"/>
                <w:sz w:val="32"/>
                <w:szCs w:val="32"/>
                <w:u w:val="none"/>
              </w:rPr>
            </w:pPr>
          </w:p>
        </w:tc>
        <w:tc>
          <w:tcPr>
            <w:tcW w:w="28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761DD4">
            <w:pPr>
              <w:jc w:val="center"/>
              <w:rPr>
                <w:rFonts w:hint="eastAsia" w:ascii="宋体" w:hAnsi="宋体" w:eastAsia="宋体" w:cs="宋体"/>
                <w:i w:val="0"/>
                <w:iCs w:val="0"/>
                <w:color w:val="000000"/>
                <w:sz w:val="22"/>
                <w:szCs w:val="22"/>
                <w:u w:val="none"/>
              </w:rPr>
            </w:pPr>
          </w:p>
        </w:tc>
      </w:tr>
      <w:tr w14:paraId="3542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F94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A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w:t>
            </w:r>
          </w:p>
        </w:tc>
      </w:tr>
      <w:tr w14:paraId="0EBF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E6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高盖教学楼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r>
      <w:tr w14:paraId="5F55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08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诗山教学楼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14:paraId="1F39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9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俊秀科学院</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r>
      <w:tr w14:paraId="4B05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0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俊秀外文院</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r>
      <w:tr w14:paraId="4E6C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DA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俊秀文艺院</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w:t>
            </w:r>
          </w:p>
        </w:tc>
      </w:tr>
      <w:tr w14:paraId="502E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11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D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r>
      <w:tr w14:paraId="5BEA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C0E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俊秀大会堂</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r>
      <w:tr w14:paraId="1C00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21A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体育馆</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3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r>
      <w:tr w14:paraId="3E8F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8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梯形教室</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r>
      <w:tr w14:paraId="3C7F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B4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男生楼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0000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564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俊秀楼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F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3497</w:t>
            </w:r>
          </w:p>
        </w:tc>
      </w:tr>
      <w:tr w14:paraId="191E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2D4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振华楼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2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r>
      <w:tr w14:paraId="4B3E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43E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鹏峰</w:t>
            </w:r>
            <w:r>
              <w:rPr>
                <w:rStyle w:val="32"/>
                <w:rFonts w:eastAsia="宋体"/>
                <w:lang w:val="en-US" w:eastAsia="zh-CN" w:bidi="ar"/>
              </w:rPr>
              <w:t>1#</w:t>
            </w:r>
            <w:r>
              <w:rPr>
                <w:rStyle w:val="33"/>
                <w:lang w:val="en-US" w:eastAsia="zh-CN" w:bidi="ar"/>
              </w:rPr>
              <w:t>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r>
      <w:tr w14:paraId="764C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F2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鹏峰</w:t>
            </w:r>
            <w:r>
              <w:rPr>
                <w:rStyle w:val="32"/>
                <w:rFonts w:eastAsia="宋体"/>
                <w:lang w:val="en-US" w:eastAsia="zh-CN" w:bidi="ar"/>
              </w:rPr>
              <w:t>2#</w:t>
            </w:r>
            <w:r>
              <w:rPr>
                <w:rStyle w:val="33"/>
                <w:lang w:val="en-US" w:eastAsia="zh-CN" w:bidi="ar"/>
              </w:rPr>
              <w:t>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5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w:t>
            </w:r>
          </w:p>
        </w:tc>
      </w:tr>
      <w:tr w14:paraId="3386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2D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鹏峰</w:t>
            </w:r>
            <w:r>
              <w:rPr>
                <w:rStyle w:val="32"/>
                <w:rFonts w:eastAsia="宋体"/>
                <w:lang w:val="en-US" w:eastAsia="zh-CN" w:bidi="ar"/>
              </w:rPr>
              <w:t>3#</w:t>
            </w:r>
            <w:r>
              <w:rPr>
                <w:rStyle w:val="33"/>
                <w:lang w:val="en-US" w:eastAsia="zh-CN" w:bidi="ar"/>
              </w:rPr>
              <w:t>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w:t>
            </w:r>
          </w:p>
        </w:tc>
      </w:tr>
      <w:tr w14:paraId="6DC9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9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鹏峰</w:t>
            </w:r>
            <w:r>
              <w:rPr>
                <w:rStyle w:val="32"/>
                <w:rFonts w:eastAsia="宋体"/>
                <w:lang w:val="en-US" w:eastAsia="zh-CN" w:bidi="ar"/>
              </w:rPr>
              <w:t>4#</w:t>
            </w:r>
            <w:r>
              <w:rPr>
                <w:rStyle w:val="33"/>
                <w:lang w:val="en-US" w:eastAsia="zh-CN" w:bidi="ar"/>
              </w:rPr>
              <w:t>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w:t>
            </w:r>
          </w:p>
        </w:tc>
      </w:tr>
      <w:tr w14:paraId="524D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23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第二餐厅</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r>
      <w:tr w14:paraId="05A7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CE1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电房</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C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43E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38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EDF2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476115">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37800</w:t>
            </w:r>
          </w:p>
        </w:tc>
      </w:tr>
    </w:tbl>
    <w:p w14:paraId="690F0E59">
      <w:pPr>
        <w:numPr>
          <w:ilvl w:val="0"/>
          <w:numId w:val="0"/>
        </w:numPr>
        <w:spacing w:line="440" w:lineRule="exact"/>
        <w:ind w:firstLine="480" w:firstLineChars="200"/>
        <w:rPr>
          <w:rFonts w:hint="eastAsia" w:ascii="宋体" w:hAnsi="宋体" w:eastAsia="宋体" w:cs="宋体"/>
          <w:sz w:val="24"/>
          <w:szCs w:val="24"/>
        </w:rPr>
      </w:pPr>
    </w:p>
    <w:p w14:paraId="64DDF9A4">
      <w:pPr>
        <w:numPr>
          <w:ilvl w:val="0"/>
          <w:numId w:val="0"/>
        </w:num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（二）检测项目清单</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5"/>
        <w:gridCol w:w="1623"/>
        <w:gridCol w:w="6503"/>
      </w:tblGrid>
      <w:tr w14:paraId="7C5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7080E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一、供配电装置</w:t>
            </w:r>
          </w:p>
        </w:tc>
      </w:tr>
      <w:tr w14:paraId="379A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tcBorders>
              <w:top w:val="single" w:color="000000" w:sz="4" w:space="0"/>
              <w:left w:val="single" w:color="000000" w:sz="4" w:space="0"/>
              <w:bottom w:val="single" w:color="000000" w:sz="4" w:space="0"/>
              <w:right w:val="single" w:color="000000" w:sz="4" w:space="0"/>
            </w:tcBorders>
            <w:noWrap w:val="0"/>
            <w:vAlign w:val="center"/>
          </w:tcPr>
          <w:p w14:paraId="07AAC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7BE80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检测项目</w:t>
            </w:r>
          </w:p>
        </w:tc>
        <w:tc>
          <w:tcPr>
            <w:tcW w:w="3337" w:type="pct"/>
            <w:tcBorders>
              <w:top w:val="single" w:color="000000" w:sz="4" w:space="0"/>
              <w:left w:val="single" w:color="000000" w:sz="4" w:space="0"/>
              <w:bottom w:val="single" w:color="000000" w:sz="4" w:space="0"/>
              <w:right w:val="single" w:color="000000" w:sz="4" w:space="0"/>
            </w:tcBorders>
            <w:noWrap w:val="0"/>
            <w:vAlign w:val="center"/>
          </w:tcPr>
          <w:p w14:paraId="2EE89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技术要求</w:t>
            </w:r>
          </w:p>
        </w:tc>
      </w:tr>
      <w:tr w14:paraId="7ACF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17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E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变配电室建筑要求和设备安装要求</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05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1.变压器室、配电室、电容器室的进户门应向外开启；相邻配电室之间有门时，此门应向较低压方向开启或双向开启。</w:t>
            </w:r>
          </w:p>
        </w:tc>
      </w:tr>
      <w:tr w14:paraId="0D0A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594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F772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89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2.长度大于7m的配电室应设两个出口，并宜布置在配电室两端；长度大于60m时，宜增加一个出口。</w:t>
            </w:r>
          </w:p>
        </w:tc>
      </w:tr>
      <w:tr w14:paraId="633B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C61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DADE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93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3.当变电所采用双层布置时，位于楼上的配电室应至少设一 个通向室外的平台或通道出口。</w:t>
            </w:r>
          </w:p>
        </w:tc>
      </w:tr>
      <w:tr w14:paraId="3E52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28EF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BA59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0E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4.高压配电室宜设不能开启的自然采光窗，窗台距室外地坪不宜低于1.8m。</w:t>
            </w:r>
          </w:p>
        </w:tc>
      </w:tr>
      <w:tr w14:paraId="3BB7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1AFD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50F6B">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6D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5.配电室临街的一面不宜开窗。</w:t>
            </w:r>
          </w:p>
        </w:tc>
      </w:tr>
      <w:tr w14:paraId="7554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FFA8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E085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A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6.变压器室、配电室、电容器室等应设置防止雨、雪和小动物从采光窗、通风窗、门、电缆沟等进入室内的设施。</w:t>
            </w:r>
          </w:p>
        </w:tc>
      </w:tr>
      <w:tr w14:paraId="3E6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5FF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0E8B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A3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7.变压器室、电容器室、配电室、控制室内，不应有与其无关的管道和线路通过。</w:t>
            </w:r>
          </w:p>
        </w:tc>
      </w:tr>
      <w:tr w14:paraId="0FBE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0F3D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06777">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63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8.电缆穿过隔墙、楼板的孔洞处均应实施阻火封堵。</w:t>
            </w:r>
          </w:p>
        </w:tc>
      </w:tr>
      <w:tr w14:paraId="0E95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E0A68">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4626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3C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9.灯具安装应牢固，应急灯照度应满足室内工作需要。</w:t>
            </w:r>
          </w:p>
        </w:tc>
      </w:tr>
      <w:tr w14:paraId="48EF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9EE4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516A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23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10.消防用电设备专用的供电回路，其配电设备应有明显标志</w:t>
            </w:r>
          </w:p>
        </w:tc>
      </w:tr>
      <w:tr w14:paraId="427D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AE0D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D883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9F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11.地上变压器宜采用自然通风，地下变压器应设机械送风系统。</w:t>
            </w:r>
          </w:p>
        </w:tc>
      </w:tr>
      <w:tr w14:paraId="76BF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0B7A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308B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38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12.成排布置的配电屏，其长度超过6m时，屏后面的通道应有两个通向本室或其他房间的出口并宜布置在通道的两端。当两出口之间的距离超过15m时，期间还宜增加出口。</w:t>
            </w:r>
          </w:p>
        </w:tc>
      </w:tr>
      <w:tr w14:paraId="69EF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4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FF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 （盘、屏、柜）</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6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1.成套配电柜、台、箱、盘，各种仪表指示正常。</w:t>
            </w:r>
          </w:p>
        </w:tc>
      </w:tr>
      <w:tr w14:paraId="0357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4B6A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1FAA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80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2.电器的衔铁吸合后应无异常响声</w:t>
            </w:r>
          </w:p>
        </w:tc>
      </w:tr>
      <w:tr w14:paraId="65E7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CA44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CF9A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A1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3.接线应排列整齐、清晰、美观，导线绝缘应良好、无损伤。</w:t>
            </w:r>
          </w:p>
        </w:tc>
      </w:tr>
      <w:tr w14:paraId="0CF1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1CEF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F77F">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0A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4.柜、台、箱、盘的金属框架及基础型钢必须接地（PE）或接零（PEN)可靠。</w:t>
            </w:r>
          </w:p>
        </w:tc>
      </w:tr>
      <w:tr w14:paraId="2876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CF50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C119B">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BA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5.母线的涂改：</w:t>
            </w:r>
          </w:p>
        </w:tc>
      </w:tr>
      <w:tr w14:paraId="46EC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BABB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CCFB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5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交流.A相为黄色、B相为绿色、C相为红色；</w:t>
            </w:r>
          </w:p>
        </w:tc>
      </w:tr>
      <w:tr w14:paraId="57AD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73B1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BEB2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78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直流.正极为赭色、负极为蓝色；</w:t>
            </w:r>
          </w:p>
        </w:tc>
      </w:tr>
      <w:tr w14:paraId="6B74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1339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26CE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00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6.柜、屏、台、箱、盘间线路的线间和线对地间绝缘电阻值，馈电线路必须大于0.5MΩ</w:t>
            </w:r>
          </w:p>
        </w:tc>
      </w:tr>
      <w:tr w14:paraId="583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58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F5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照明配电箱</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9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1.照明配电箱（盘）安装牢靠，暗装配电箱箱盖紧贴墙面。</w:t>
            </w:r>
          </w:p>
        </w:tc>
      </w:tr>
      <w:tr w14:paraId="334B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6D86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4D56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8A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2.照明配电箱（盘）内接线整齐，回路编号齐全。</w:t>
            </w:r>
          </w:p>
        </w:tc>
      </w:tr>
      <w:tr w14:paraId="120E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480B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8FCD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61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3.照明配电箱（盘）不应采用可燃材料制作。</w:t>
            </w:r>
          </w:p>
        </w:tc>
      </w:tr>
      <w:tr w14:paraId="4902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F128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4D23">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7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4.照明配电箱底边距地面为1.5m。</w:t>
            </w:r>
          </w:p>
        </w:tc>
      </w:tr>
      <w:tr w14:paraId="5CDF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3785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E1823">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58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5.照明配电箱（盘）内开关动作灵活可靠。</w:t>
            </w:r>
          </w:p>
        </w:tc>
      </w:tr>
      <w:tr w14:paraId="5B67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0261B">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04685">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85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6.照明箱（盘）内，分别设置零线（N）和保护地线（PE线）汇流排，零线和保护地线经汇流排配出。</w:t>
            </w:r>
          </w:p>
        </w:tc>
      </w:tr>
      <w:tr w14:paraId="1FAF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02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33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低压供配电装置运行状态的要求</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61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大容量（630A及以上）导线或母线连接处，在负荷运行情况下应做温度抽测记录，温升值稳定且不大于设计值。</w:t>
            </w:r>
          </w:p>
        </w:tc>
      </w:tr>
      <w:tr w14:paraId="6AFA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C2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AB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变配电装置触头、接线端子的要求</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50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1.每个接线端子的每侧接线宜为1根，不得超过2根。对于插接式端子，不同截面的两根导线不得接在同一端子中：螺栓连接端子接两根导线时，中间应加平垫片。</w:t>
            </w:r>
          </w:p>
        </w:tc>
      </w:tr>
      <w:tr w14:paraId="662A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80E1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5243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A3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2.接线端子应与导线截面匹配，不应使用小端子配大截面导线。</w:t>
            </w:r>
          </w:p>
        </w:tc>
      </w:tr>
      <w:tr w14:paraId="4CA9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2159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4B46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B8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3.进线接在进线端，即固定触头接线端，负荷侧导线接在出线侧，即可动触头接线端。</w:t>
            </w:r>
          </w:p>
        </w:tc>
      </w:tr>
      <w:tr w14:paraId="0A9E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54F7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0A8E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BD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4.电器接线应采用铜质或有电镀金属防锈层的螺栓和螺钉，连接时应拧紧，且应有防松装置。</w:t>
            </w:r>
          </w:p>
        </w:tc>
      </w:tr>
      <w:tr w14:paraId="29B3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0AC2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96FAB">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FE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5.截面积在10mm²及以下的单股铜芯线和单股铝芯线直接与设备、器具的端子连接；</w:t>
            </w:r>
          </w:p>
        </w:tc>
      </w:tr>
      <w:tr w14:paraId="7899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4560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1680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B7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6.截面积在2.5mm²及以下的多股铜芯线拧紧搪锡或接续端子后与设备。器具的端子连接；</w:t>
            </w:r>
          </w:p>
        </w:tc>
      </w:tr>
      <w:tr w14:paraId="3DA4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8EA6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249C3">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5E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7.截面积大于2.5mm²及以下的多股铜芯线，除设备自带插接式端子外，接续端子后与设备或器具的端子连接；多股铜芯线与插接式端子连接前，端部拧紧搪锡。</w:t>
            </w:r>
          </w:p>
        </w:tc>
      </w:tr>
      <w:tr w14:paraId="156F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66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43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自备发电机</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7F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1.发电机组至低压配电柜馈电线路的相间、相对地间的绝缘电阻值应大于0.5MΩ。</w:t>
            </w:r>
          </w:p>
        </w:tc>
      </w:tr>
      <w:tr w14:paraId="0496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958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EAC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EA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2.发电机中性线（工作零线）应与接地干线直接连接，螺栓防松零件齐全，且有标识。</w:t>
            </w:r>
          </w:p>
        </w:tc>
      </w:tr>
      <w:tr w14:paraId="60A8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8A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57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不间断电源</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E9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不间断电源装置的可接近裸露导体应接地（PE）或接零（PEN）可靠，且有标识。</w:t>
            </w:r>
          </w:p>
        </w:tc>
      </w:tr>
      <w:tr w14:paraId="6EF5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BAA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二、低压用电设备</w:t>
            </w:r>
          </w:p>
        </w:tc>
      </w:tr>
      <w:tr w14:paraId="0DB6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6F6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E6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检测项目</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E40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 术 要 求</w:t>
            </w:r>
          </w:p>
        </w:tc>
      </w:tr>
      <w:tr w14:paraId="7983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5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97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B4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1、单相回路灯具≤25只：I≤16A</w:t>
            </w:r>
          </w:p>
        </w:tc>
      </w:tr>
      <w:tr w14:paraId="6A04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89F72">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4839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CA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2、照明器靠近可燃物时，应采取隔热、散热等保护措施</w:t>
            </w:r>
          </w:p>
        </w:tc>
      </w:tr>
      <w:tr w14:paraId="795B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9FEF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7CEA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30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3、装有卤钨灯和100W及以上白炽灯泡的吸顶灯、槽灯、嵌入式灯应采用瓷管、石棉、玻璃丝灯非燃烧材料做隔热保护。</w:t>
            </w:r>
          </w:p>
        </w:tc>
      </w:tr>
      <w:tr w14:paraId="116A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876F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F747">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D9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4、应急照明灯和灯光疏散指示标志应设玻璃等不燃材料的保护罩。</w:t>
            </w:r>
          </w:p>
        </w:tc>
      </w:tr>
      <w:tr w14:paraId="1581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4FD1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7F803">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64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5、碘钨灯、卤钨灯、60W以上的白炽灯等高温照明灯具不应在库房内装设；可燃物品库房不应设卤钨灯等高温照明器</w:t>
            </w:r>
          </w:p>
        </w:tc>
      </w:tr>
      <w:tr w14:paraId="0968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68F5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B9E3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A7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6、灯具外涂层完整，无损伤，附件安全。</w:t>
            </w:r>
          </w:p>
        </w:tc>
      </w:tr>
      <w:tr w14:paraId="76BC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138C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B51F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CB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7、防爆灯具铭牌上有防爆标志和防爆合格证号，普通灯具有安全认证标志。</w:t>
            </w:r>
          </w:p>
        </w:tc>
      </w:tr>
      <w:tr w14:paraId="49B5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CAE5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28B3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34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8、当灯具距地面高度小于2.4m时，灯具的可接近裸露导体必须接地（PE)或接零（PEN）可靠，并应有专用接地螺栓，且有标识。</w:t>
            </w:r>
          </w:p>
        </w:tc>
      </w:tr>
      <w:tr w14:paraId="23B7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57A3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5AA4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7E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9、变电所内、高低压配电设备及裸母线的正上方不应安装灯具。</w:t>
            </w:r>
          </w:p>
        </w:tc>
      </w:tr>
      <w:tr w14:paraId="4744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5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98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专用灯具安装</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03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1、霓虹灯管完好，无破裂。</w:t>
            </w:r>
          </w:p>
        </w:tc>
      </w:tr>
      <w:tr w14:paraId="6920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E71B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3AF1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32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2、霓虹灯专用变压二次电线和灯管间的连接线采用额定电压大于15KV的高压绝缘电线</w:t>
            </w:r>
          </w:p>
        </w:tc>
      </w:tr>
      <w:tr w14:paraId="5C43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237F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5617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0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3、灯管采用专用的绝缘支架固定，且牢固可靠；灯管固定后，与建筑物、构筑物表现的距离不小于20mm.</w:t>
            </w:r>
          </w:p>
        </w:tc>
      </w:tr>
      <w:tr w14:paraId="5767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725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B6A2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94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4、霓虹灯变压器露天安装时应有防雨措施。</w:t>
            </w:r>
          </w:p>
        </w:tc>
      </w:tr>
      <w:tr w14:paraId="32DE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077E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EACD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41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5、霓虹灯变压器安装位置应方便检修，不装在吊平顶内。</w:t>
            </w:r>
          </w:p>
        </w:tc>
      </w:tr>
      <w:tr w14:paraId="5D31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CC2D8">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2EC7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D3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6、霓虹灯变压器明装时高≥3m；低于3m时采取防护措施。</w:t>
            </w:r>
          </w:p>
        </w:tc>
      </w:tr>
      <w:tr w14:paraId="1714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E548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4BDF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82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7、游泳池和类似场所灯具的等电位联结应可靠，电源的导管应采用绝缘导管。</w:t>
            </w:r>
          </w:p>
        </w:tc>
      </w:tr>
      <w:tr w14:paraId="48B5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1A7E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050E7">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A5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8、舞台照明每一回路的可载容量应与所选用的调光设备的回路输出容量相适应。</w:t>
            </w:r>
          </w:p>
        </w:tc>
      </w:tr>
      <w:tr w14:paraId="5C0C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EC5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20C6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97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9、舞台灯具以及灯用附件等高温部位靠近可燃时，应采取隔热、散热等防火保护措施。</w:t>
            </w:r>
          </w:p>
        </w:tc>
      </w:tr>
      <w:tr w14:paraId="1E17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5735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B859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1D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10、舞台用电设备应接地或接零保护。</w:t>
            </w:r>
          </w:p>
        </w:tc>
      </w:tr>
      <w:tr w14:paraId="2F7C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FB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70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开关插座</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6A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1、当交流、直流或不同电压等级的插座安装在同一场所时，应有明显的区别，且必须选择不同结构、不同规格和不能互换的插座；配套的插座应按交流、直流或不同电压等级区别使用。</w:t>
            </w:r>
          </w:p>
        </w:tc>
      </w:tr>
      <w:tr w14:paraId="4778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15808">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B0EA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02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2、开关及插座应采用专用盒，专用盒四周不应有空隙，盖板应端正，并紧贴墙面。</w:t>
            </w:r>
          </w:p>
        </w:tc>
      </w:tr>
      <w:tr w14:paraId="51C0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1BC1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9181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25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3、暗装的开关面板应紧贴墙面，四周无缝隙，安装牢固，表面光滑整洁、无碎裂、划伤，装饰帽齐全。</w:t>
            </w:r>
          </w:p>
        </w:tc>
      </w:tr>
      <w:tr w14:paraId="6215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196D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1C76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5A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4、相线经开关控制。</w:t>
            </w:r>
          </w:p>
        </w:tc>
      </w:tr>
      <w:tr w14:paraId="7484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F9488">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73E7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1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5、地插座面板与地面齐平或紧贴地面，盖板牢固，密封良好。</w:t>
            </w:r>
          </w:p>
        </w:tc>
      </w:tr>
      <w:tr w14:paraId="5EB1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1937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18FB">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88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6、当不采用安全型插座时，托儿所、幼儿园及小学等儿童好活动场所安装高度不小于1.8m.</w:t>
            </w:r>
          </w:p>
        </w:tc>
      </w:tr>
      <w:tr w14:paraId="5551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213A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A655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81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7、潮湿场所应采用密封封型并带保护接地触头的保护型插座，安装高度不低于1.5m</w:t>
            </w:r>
          </w:p>
        </w:tc>
      </w:tr>
      <w:tr w14:paraId="0955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79C42">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AC04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ED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8、单项两孔插座，面对插座的右孔或上孔与相线连接，左孔或下孔与零线连接。</w:t>
            </w:r>
          </w:p>
        </w:tc>
      </w:tr>
      <w:tr w14:paraId="1529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4E37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08FE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6B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9、单相三孔插座，面对插座的右孔与相线连接，左孔与零线连接</w:t>
            </w:r>
          </w:p>
        </w:tc>
      </w:tr>
      <w:tr w14:paraId="7F5C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E47A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E8855">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79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10、单相三孔、三相四孔及三相五孔插座接地（PE)或接零（PEN）线接在上孔。</w:t>
            </w:r>
          </w:p>
        </w:tc>
      </w:tr>
      <w:tr w14:paraId="2EA7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4235B">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5BAB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35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11、同一场所的三相插座，接线的相序一致。接地（PE)或接零（PEN）线在插座间不串联连接。</w:t>
            </w:r>
          </w:p>
        </w:tc>
      </w:tr>
      <w:tr w14:paraId="3ADC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91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AB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BB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不应直接安装在可燃装修材料或可燃构件上。</w:t>
            </w:r>
          </w:p>
        </w:tc>
      </w:tr>
      <w:tr w14:paraId="0D1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8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AE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低压电动机、电加热及电动执行机构</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D8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1、电动机、电加热器及电动执行机构，绝缘电阻值应大于0.5MΩ</w:t>
            </w:r>
          </w:p>
        </w:tc>
      </w:tr>
      <w:tr w14:paraId="6547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4884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74F3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D1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2、电气设备安装应牢固，螺栓及防松零件齐全，不松动，防水防潮电气设备的接线入口及接线盒盖应做密封处理。</w:t>
            </w:r>
          </w:p>
        </w:tc>
      </w:tr>
      <w:tr w14:paraId="30F1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004DC">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E83E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33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3、电动机应装设短路保护和过载保护。</w:t>
            </w:r>
          </w:p>
        </w:tc>
      </w:tr>
      <w:tr w14:paraId="77BA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16C9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7AA1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A2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4、电动机，电加热及电动机执行机构的可接的裸露导致必须接地(PE)或接零（PEN).</w:t>
            </w:r>
          </w:p>
        </w:tc>
      </w:tr>
      <w:tr w14:paraId="34A1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C6D6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F69F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7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5、电动机应试通电，检查转向和机械转动有无异常情况。</w:t>
            </w:r>
          </w:p>
        </w:tc>
      </w:tr>
      <w:tr w14:paraId="2B3E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77BB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60AD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D2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6、电动执行机构的动作方向及指示，应与工艺装置的设计要求保持一致。</w:t>
            </w:r>
          </w:p>
        </w:tc>
      </w:tr>
      <w:tr w14:paraId="7D74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431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三、室内低压配电线路</w:t>
            </w:r>
          </w:p>
        </w:tc>
      </w:tr>
      <w:tr w14:paraId="3684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D6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782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检测项目</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F98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 术 要 求</w:t>
            </w:r>
          </w:p>
        </w:tc>
      </w:tr>
      <w:tr w14:paraId="28C7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2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D2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缆线选择</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16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1、电缆选择一般采用铜芯</w:t>
            </w:r>
          </w:p>
        </w:tc>
      </w:tr>
      <w:tr w14:paraId="1F28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6B60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C31A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85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2、移动设备用橡皮电缆</w:t>
            </w:r>
          </w:p>
        </w:tc>
      </w:tr>
      <w:tr w14:paraId="69C1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44DE9">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DBD7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ED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3、60℃以上场所，用耐热电缆。</w:t>
            </w:r>
          </w:p>
        </w:tc>
      </w:tr>
      <w:tr w14:paraId="3D22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52A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0940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1A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4、100℃以上环境，宜用矿物电缆。</w:t>
            </w:r>
          </w:p>
        </w:tc>
      </w:tr>
      <w:tr w14:paraId="181C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B346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AB3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B8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5、由可控硅调光装置配出的舞台照明线路宜采用单相配电</w:t>
            </w:r>
          </w:p>
        </w:tc>
      </w:tr>
      <w:tr w14:paraId="7423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FF35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3F4B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4D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6、由晶闸管调光装置配出的舞台照明线路宜采用单相配电。当采用三相配电时，宜每相分别配置中性导体，当共用中性导体时，中性导体截面不应小于相导体截面的2倍</w:t>
            </w:r>
          </w:p>
        </w:tc>
      </w:tr>
      <w:tr w14:paraId="6403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8D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1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电缆敷设</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AE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1、排列整齐、加固定、不交叉、并装设标志牌。</w:t>
            </w:r>
          </w:p>
        </w:tc>
      </w:tr>
      <w:tr w14:paraId="5610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5499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1A87">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1A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2、电缆在室内埋设或通过墙、楼板时应穿钢管保护。</w:t>
            </w:r>
          </w:p>
        </w:tc>
      </w:tr>
      <w:tr w14:paraId="1EB4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4D10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7883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0B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3、三相或单相的交流单芯电缆，不得单独穿于钢导管内</w:t>
            </w:r>
          </w:p>
        </w:tc>
      </w:tr>
      <w:tr w14:paraId="74AB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AEAC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F3A1B">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1F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4、电力电缆不应和输送甲、乙、丙类液体管道、可燃气体管道、热力管道敷设在同一管沟内</w:t>
            </w:r>
          </w:p>
        </w:tc>
      </w:tr>
      <w:tr w14:paraId="353C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DCC5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B237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72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5、电缆进入电缆沟、竖井、建筑物、盘（柜）以及管子管口处等做密封处理</w:t>
            </w:r>
          </w:p>
        </w:tc>
      </w:tr>
      <w:tr w14:paraId="4232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BD18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B7BB7">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92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6、三相四线制系统中应采用四芯电力电缆，不应采用三芯电缆另加一根单芯电缆作中性线。</w:t>
            </w:r>
          </w:p>
        </w:tc>
      </w:tr>
      <w:tr w14:paraId="7DE7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0698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096E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0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7、舞台照明设备的接电方法，应采用专用接插件连接，接插件额定容量应有足够余量。</w:t>
            </w:r>
          </w:p>
        </w:tc>
      </w:tr>
      <w:tr w14:paraId="02C9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9D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电缆敷设</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B5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1、不同回路、不同电压和交流与直流的电线，不应穿于同一导管内；</w:t>
            </w:r>
          </w:p>
        </w:tc>
      </w:tr>
      <w:tr w14:paraId="00FA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B92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149C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8E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2、同一交流回路电线应穿于同一金属导管内。</w:t>
            </w:r>
          </w:p>
        </w:tc>
      </w:tr>
      <w:tr w14:paraId="0C8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FED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A22A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39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3、电线在线槽或导管内有一定余量。</w:t>
            </w:r>
          </w:p>
        </w:tc>
      </w:tr>
      <w:tr w14:paraId="7FFC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4AFA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E05D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58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4、建筑物顶棚内、保温层及装饰面板内，严禁采用直敷布线。</w:t>
            </w:r>
          </w:p>
        </w:tc>
      </w:tr>
      <w:tr w14:paraId="40C5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3E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F0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线路要求</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2F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1、线路易受机械损伤部位应保护。</w:t>
            </w:r>
          </w:p>
        </w:tc>
      </w:tr>
      <w:tr w14:paraId="7444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675F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7B3B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25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2、导线接头应设在接线盒（箱）内。</w:t>
            </w:r>
          </w:p>
        </w:tc>
      </w:tr>
      <w:tr w14:paraId="10FC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B1D0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A537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DD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3、配电线路不得穿越通风管道内腔或敷设在通风管道外壁上，穿金属管保护的配电线路可紧贴通风管道外壁敷设。</w:t>
            </w:r>
          </w:p>
        </w:tc>
      </w:tr>
      <w:tr w14:paraId="40F7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DF70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1D515">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D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4、竖井内布线时，不应和电梯井、管道间共用同一竖井</w:t>
            </w:r>
          </w:p>
        </w:tc>
      </w:tr>
      <w:tr w14:paraId="4A42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11D2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FAF7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49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5、刚性导管经柔性导管与电气设备、器具连接，柔性导管的长度在动力工程中不大于0.8m，在照明工程中不大于1.2m</w:t>
            </w:r>
          </w:p>
        </w:tc>
      </w:tr>
      <w:tr w14:paraId="26C6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C985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9A815">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6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6、低压电线和电缆，线间和线对地间的绝缘电阻必须大于0.5mΩ</w:t>
            </w:r>
          </w:p>
        </w:tc>
      </w:tr>
      <w:tr w14:paraId="32E9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E5EA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2C48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09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7、桑拿浴室内线路应为双重绝缘，不得采用金属外皮的电缆或普通钢管布线。</w:t>
            </w:r>
          </w:p>
        </w:tc>
      </w:tr>
      <w:tr w14:paraId="4BB7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E0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F4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封闭母线、插接式母线安装</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57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1、室内采用铜铝过镀板，铜导体搭接面搪锡。</w:t>
            </w:r>
          </w:p>
        </w:tc>
      </w:tr>
      <w:tr w14:paraId="5B45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800E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9CA2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7B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2、三相交流母线：A（L1）-黄、B（L2）-绿、C（L3）-红</w:t>
            </w:r>
          </w:p>
        </w:tc>
      </w:tr>
      <w:tr w14:paraId="3C56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2B63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5292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67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3、直流母线：正-赭、负-篮。</w:t>
            </w:r>
          </w:p>
        </w:tc>
      </w:tr>
      <w:tr w14:paraId="33D5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8E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E9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桥架安装</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BD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1、当设计无要求时，电缆桥架水平安装的支架间距为1.5-3m：垂直安装的支架间距不大于2m.</w:t>
            </w:r>
          </w:p>
        </w:tc>
      </w:tr>
      <w:tr w14:paraId="4BC9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AEE2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87D3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05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2、敷设在竖井内和穿越不同防火区的桥架，按设计要求位置，有防火隔堵措施。</w:t>
            </w:r>
          </w:p>
        </w:tc>
      </w:tr>
      <w:tr w14:paraId="0BBA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F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2C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电缆沟和电缆竖井</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2C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1、应采取防水、排水措施。</w:t>
            </w:r>
          </w:p>
        </w:tc>
      </w:tr>
      <w:tr w14:paraId="4A0D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F59B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B57B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A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2、竖井有接地干线和接地端子。</w:t>
            </w:r>
          </w:p>
        </w:tc>
      </w:tr>
      <w:tr w14:paraId="0094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F2DB2">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F203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69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3、竖井不应有与其无关管道等通过。</w:t>
            </w:r>
          </w:p>
        </w:tc>
      </w:tr>
      <w:tr w14:paraId="3F95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26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2B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保护措施</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53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1、电气线路应装设短路、过负荷保护。</w:t>
            </w:r>
          </w:p>
        </w:tc>
      </w:tr>
      <w:tr w14:paraId="7FCF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E427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53F33">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4C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2、采用的上下级保护电器，动作应有选择性，能协调配合。</w:t>
            </w:r>
          </w:p>
        </w:tc>
      </w:tr>
      <w:tr w14:paraId="717D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B595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9B28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7E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3、配电线路敷设在有可燃物的闷顶内，应采取穿金属管等防火保护措施。</w:t>
            </w:r>
          </w:p>
        </w:tc>
      </w:tr>
      <w:tr w14:paraId="723A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ECD62">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BEF49">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79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4、敷设在有可燃物的吊顶内时，宜采取穿金属管、采用封闭式金属线槽或难燃材料的塑料管等防火保护措施。</w:t>
            </w:r>
          </w:p>
        </w:tc>
      </w:tr>
      <w:tr w14:paraId="0D75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F5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F5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防火封堵</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58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1、建筑内的电缆井、管道井应在每层楼板处采用不低于楼板耐火极限的不燃烧体或防火封堵材料封堵。</w:t>
            </w:r>
          </w:p>
        </w:tc>
      </w:tr>
      <w:tr w14:paraId="5063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59E8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4D30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6E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2、建筑内的电缆井、管道井与房间、走道等相连通的孔洞应采用防火封堵材料封堵。</w:t>
            </w:r>
          </w:p>
        </w:tc>
      </w:tr>
      <w:tr w14:paraId="15E8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A91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四、接地和等电位</w:t>
            </w:r>
          </w:p>
        </w:tc>
      </w:tr>
      <w:tr w14:paraId="654E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F1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84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检测项目</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14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 术 要 求</w:t>
            </w:r>
          </w:p>
        </w:tc>
      </w:tr>
      <w:tr w14:paraId="7163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0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00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一般规定</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7E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地或接零的设备部位：电机、电器、移动用电器具等的金属底座和外壳：配电、控制、保护用的屏（柜、箱）及操作台等的金属框架和底座；电缆桥架、支架和井架：封闭母线的外壳及其他裸露的金属部分；电热设备的金属外壳；控制电缆的金属保护层。</w:t>
            </w:r>
          </w:p>
        </w:tc>
      </w:tr>
      <w:tr w14:paraId="66A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1639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9E4FA">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DC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2、接地（PE)或接零（PEN）支线必须单独与接地（PE)或接零（OEN）干线相连接，不得串联连接</w:t>
            </w:r>
          </w:p>
        </w:tc>
      </w:tr>
      <w:tr w14:paraId="65F7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3731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C0EE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32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3、变压器室、高低压开关室内的接地干线应有不少于2处于接地装置引出干线连接。</w:t>
            </w:r>
          </w:p>
        </w:tc>
      </w:tr>
      <w:tr w14:paraId="4933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2564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E7EA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0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4、当利用金属构件、金属管道做接地线时，应在构件或管道与接地干线间焊接金属跨接线。</w:t>
            </w:r>
          </w:p>
        </w:tc>
      </w:tr>
      <w:tr w14:paraId="35CA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C6F2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C4F64">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E5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5、包括配线用的钢导管及金属线槽在内的外界可导电部分，严禁用作PEN线。</w:t>
            </w:r>
          </w:p>
        </w:tc>
      </w:tr>
      <w:tr w14:paraId="283B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59B6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2533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2C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6、民用建筑物内电气装置应采用总等电位联结。</w:t>
            </w:r>
          </w:p>
        </w:tc>
      </w:tr>
      <w:tr w14:paraId="29F4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31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F5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安装要求</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A1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1、发电机中性线（工作零线）应与接地干线直接连接，螺栓防松零件齐全，且有标识。</w:t>
            </w:r>
          </w:p>
        </w:tc>
      </w:tr>
      <w:tr w14:paraId="7248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6EA2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89E5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60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2、不间断电源输出端的中性线（N极），必须与由接地装置直接引来的接地干线相连接，做重复接地。</w:t>
            </w:r>
          </w:p>
        </w:tc>
      </w:tr>
      <w:tr w14:paraId="791D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BF5E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5692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52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3、保护网（罩）及母线支架等可接近裸露导体应接地（PE)或接零（PEN）可靠，不应作为接地（PE)或接零（PEN）的连接导体。</w:t>
            </w:r>
          </w:p>
        </w:tc>
      </w:tr>
      <w:tr w14:paraId="6905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591E">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A9FA8">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1B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4、低压电器组合外壳需接地（PE）或接零（PEN)应连接可靠</w:t>
            </w:r>
          </w:p>
        </w:tc>
      </w:tr>
      <w:tr w14:paraId="385C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C6F41">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9BB61">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6A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5、金属电缆支架、电缆导管必须接地（PE）或接零（PEN)可靠</w:t>
            </w:r>
          </w:p>
        </w:tc>
      </w:tr>
      <w:tr w14:paraId="7978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231D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C2C8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9E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6、金属电缆桥架和引入或引出的金属电缆导管必须接地（PE）或接零（PEN)可靠</w:t>
            </w:r>
          </w:p>
        </w:tc>
      </w:tr>
      <w:tr w14:paraId="404E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7B74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11CBF">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78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7、当灯具距地面高度小于2.4米时，灯具的可靠性裸露导体必须接地（PE）或接零（PEN)可靠，并应有专用接地螺栓，且有标识。</w:t>
            </w:r>
          </w:p>
        </w:tc>
      </w:tr>
      <w:tr w14:paraId="3359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439C7">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31BA6">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9C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8、柜、屏、台、盘、箱的金属框架及基础型钢必须接地（PE）或接零（PEN)可靠；装有电器的门可开，门和框架的接地端子间应用裸编制铜线连接，且有标识。</w:t>
            </w:r>
          </w:p>
        </w:tc>
      </w:tr>
      <w:tr w14:paraId="324D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9ECCD">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A520">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E9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9、总等电位联结线的截面不应小于装置的最大保护导体截面的一半，并不应小于6mm²；当联结导体采用铜导体时，其截面不应大于25mm²；当为其他金属时，其截面应承载与25mm²铜导体相当的导流量。</w:t>
            </w:r>
          </w:p>
        </w:tc>
      </w:tr>
      <w:tr w14:paraId="728B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46720">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D205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49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10、金属的导管和线槽必须接地（PE）或接零（PEN)可靠</w:t>
            </w:r>
          </w:p>
        </w:tc>
      </w:tr>
      <w:tr w14:paraId="60B5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CE28F">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B1D2D">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A5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11、在配电线中固定敷设的铜保护接地中性导体的截面积不应小于  10mm²，铝保护接地中性导体的截面积不应小于16mm²</w:t>
            </w:r>
          </w:p>
        </w:tc>
      </w:tr>
      <w:tr w14:paraId="6E9F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807B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0C0F5">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89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12、接地干线的连接应采用焊接，焊接必须牢固无虚焊。有色金属接地干线不能采用焊接时，可采用螺栓连接。电气设备上的接地线应采用镀锌螺栓连接。</w:t>
            </w:r>
          </w:p>
        </w:tc>
      </w:tr>
      <w:tr w14:paraId="6189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A01E3">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22A6F">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47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13、等电位联结中各联结点应牢固连接，可靠导电。</w:t>
            </w:r>
          </w:p>
        </w:tc>
      </w:tr>
      <w:tr w14:paraId="3BD7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91A44">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9F92">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DB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14、保护地线截面，应满足回路保护电器可靠动作要求。</w:t>
            </w:r>
          </w:p>
        </w:tc>
      </w:tr>
      <w:tr w14:paraId="0164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E8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F4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w:t>
            </w: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37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1、电力装置的接地电阻不宜大于10Ω</w:t>
            </w:r>
          </w:p>
        </w:tc>
      </w:tr>
      <w:tr w14:paraId="5267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4946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A87C">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21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2、低压线路每处重复接地装置的接地电阻不宜大于10Ω</w:t>
            </w:r>
          </w:p>
        </w:tc>
      </w:tr>
      <w:tr w14:paraId="0E53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72725">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1F28E">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01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3、专设接地装置时其接地电阻不宜大于4Ω</w:t>
            </w:r>
          </w:p>
        </w:tc>
      </w:tr>
      <w:tr w14:paraId="25F3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82396">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9D2F">
            <w:pPr>
              <w:jc w:val="center"/>
              <w:rPr>
                <w:rFonts w:hint="eastAsia" w:ascii="宋体" w:hAnsi="宋体" w:eastAsia="宋体" w:cs="宋体"/>
                <w:i w:val="0"/>
                <w:iCs w:val="0"/>
                <w:color w:val="000000"/>
                <w:sz w:val="18"/>
                <w:szCs w:val="18"/>
                <w:u w:val="none"/>
              </w:rPr>
            </w:pPr>
          </w:p>
        </w:tc>
        <w:tc>
          <w:tcPr>
            <w:tcW w:w="33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1F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4、采用共用接地时其接地电阻值不应大于1Ω</w:t>
            </w:r>
          </w:p>
        </w:tc>
      </w:tr>
    </w:tbl>
    <w:p w14:paraId="1A0A9DF1">
      <w:pPr>
        <w:pStyle w:val="2"/>
        <w:ind w:firstLine="482" w:firstLineChars="200"/>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检测过程中若发现楼栋主配电室有孔洞未封堵，中标方需自备防火泥等材料进行封堵。</w:t>
      </w:r>
    </w:p>
    <w:p w14:paraId="6E5ADA23">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49" w:name="_Toc394319916"/>
      <w:bookmarkStart w:id="50" w:name="_Toc358109805"/>
      <w:bookmarkStart w:id="51" w:name="_Toc425276504"/>
      <w:bookmarkStart w:id="52" w:name="_Toc416379639"/>
      <w:bookmarkStart w:id="53" w:name="_Toc57451666"/>
      <w:bookmarkStart w:id="54" w:name="_Toc478753855"/>
      <w:r>
        <w:rPr>
          <w:rFonts w:hint="eastAsia" w:ascii="宋体" w:hAnsi="宋体"/>
          <w:b/>
          <w:bCs/>
          <w:color w:val="000000" w:themeColor="text1"/>
          <w:sz w:val="24"/>
          <w:lang w:val="en-US" w:eastAsia="zh-CN"/>
          <w14:textFill>
            <w14:solidFill>
              <w14:schemeClr w14:val="tx1"/>
            </w14:solidFill>
          </w14:textFill>
        </w:rPr>
        <w:t>二</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w:t>
      </w:r>
    </w:p>
    <w:bookmarkEnd w:id="49"/>
    <w:bookmarkEnd w:id="50"/>
    <w:p w14:paraId="0D7CC17A">
      <w:pPr>
        <w:spacing w:line="440" w:lineRule="exact"/>
        <w:ind w:firstLine="480" w:firstLineChars="200"/>
        <w:rPr>
          <w:rFonts w:hint="eastAsia" w:hAnsi="宋体" w:eastAsia="宋体"/>
          <w:color w:val="auto"/>
          <w:sz w:val="24"/>
          <w:lang w:val="en-US" w:eastAsia="zh-CN"/>
        </w:rPr>
      </w:pPr>
      <w:bookmarkStart w:id="55" w:name="_Toc430269287"/>
      <w:bookmarkStart w:id="56" w:name="_Toc394319918"/>
      <w:bookmarkStart w:id="57" w:name="_Toc285393068"/>
      <w:bookmarkStart w:id="58" w:name="_Toc430269118"/>
      <w:bookmarkStart w:id="59" w:name="_Toc358109807"/>
      <w:bookmarkStart w:id="60" w:name="_Toc491700052"/>
      <w:bookmarkStart w:id="61" w:name="_Toc394319917"/>
      <w:bookmarkStart w:id="62" w:name="_Toc358109806"/>
      <w:r>
        <w:rPr>
          <w:rFonts w:hint="eastAsia" w:hAnsi="宋体" w:eastAsia="宋体"/>
          <w:color w:val="auto"/>
          <w:sz w:val="24"/>
          <w:lang w:val="en-US" w:eastAsia="zh-CN"/>
        </w:rPr>
        <w:t>（一）验收标准</w:t>
      </w:r>
    </w:p>
    <w:p w14:paraId="01506182">
      <w:pPr>
        <w:spacing w:line="440" w:lineRule="exact"/>
        <w:ind w:firstLine="480" w:firstLineChars="200"/>
        <w:rPr>
          <w:rFonts w:hint="eastAsia" w:hAnsi="宋体"/>
          <w:color w:val="auto"/>
          <w:sz w:val="24"/>
          <w:lang w:val="en-US" w:eastAsia="zh-CN"/>
        </w:rPr>
      </w:pPr>
      <w:r>
        <w:rPr>
          <w:rFonts w:hint="eastAsia" w:hAnsi="宋体"/>
          <w:color w:val="auto"/>
          <w:sz w:val="24"/>
          <w:lang w:val="en-US" w:eastAsia="zh-CN"/>
        </w:rPr>
        <w:t>中标人按照</w:t>
      </w:r>
      <w:r>
        <w:rPr>
          <w:rFonts w:hint="eastAsia" w:ascii="宋体" w:hAnsi="宋体" w:cs="宋体"/>
          <w:kern w:val="0"/>
          <w:sz w:val="24"/>
        </w:rPr>
        <w:t>招标文件、投标文件、合同等相关文件执行</w:t>
      </w:r>
      <w:r>
        <w:rPr>
          <w:rFonts w:hint="eastAsia" w:hAnsi="宋体"/>
          <w:color w:val="auto"/>
          <w:sz w:val="24"/>
          <w:lang w:val="en-US" w:eastAsia="zh-CN"/>
        </w:rPr>
        <w:t>，完成对所有建筑的建筑电气消防安全检测，封堵楼栋主配电室的孔洞，出具相关的检测报告。</w:t>
      </w:r>
    </w:p>
    <w:p w14:paraId="42CE25A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7041FBA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w:t>
      </w:r>
      <w:r>
        <w:rPr>
          <w:rFonts w:hint="eastAsia" w:hAnsi="宋体"/>
          <w:color w:val="auto"/>
          <w:sz w:val="24"/>
          <w:lang w:val="en-US" w:eastAsia="zh-CN"/>
        </w:rPr>
        <w:t>中标</w:t>
      </w:r>
      <w:r>
        <w:rPr>
          <w:rFonts w:hint="eastAsia" w:hAnsi="宋体" w:eastAsia="宋体"/>
          <w:color w:val="auto"/>
          <w:sz w:val="24"/>
          <w:lang w:val="en-US" w:eastAsia="zh-CN"/>
        </w:rPr>
        <w:t>人需</w:t>
      </w:r>
      <w:r>
        <w:rPr>
          <w:rFonts w:hint="eastAsia" w:hAnsi="宋体"/>
          <w:color w:val="auto"/>
          <w:sz w:val="24"/>
          <w:lang w:val="en-US" w:eastAsia="zh-CN"/>
        </w:rPr>
        <w:t>提前制定检测计划</w:t>
      </w:r>
      <w:r>
        <w:rPr>
          <w:rFonts w:hint="eastAsia" w:hAnsi="宋体" w:eastAsia="宋体"/>
          <w:color w:val="auto"/>
          <w:sz w:val="24"/>
          <w:lang w:val="en-US" w:eastAsia="zh-CN"/>
        </w:rPr>
        <w:t>，</w:t>
      </w:r>
      <w:r>
        <w:rPr>
          <w:rFonts w:hint="eastAsia" w:hAnsi="宋体"/>
          <w:color w:val="auto"/>
          <w:sz w:val="24"/>
          <w:lang w:val="en-US" w:eastAsia="zh-CN"/>
        </w:rPr>
        <w:t>检测</w:t>
      </w:r>
      <w:r>
        <w:rPr>
          <w:rFonts w:hint="eastAsia" w:hAnsi="宋体" w:eastAsia="宋体"/>
          <w:color w:val="auto"/>
          <w:sz w:val="24"/>
          <w:lang w:val="en-US" w:eastAsia="zh-CN"/>
        </w:rPr>
        <w:t>计划应经采购人认可后实施。</w:t>
      </w:r>
    </w:p>
    <w:p w14:paraId="14901F76">
      <w:pPr>
        <w:spacing w:line="440" w:lineRule="exact"/>
        <w:ind w:firstLine="480" w:firstLineChars="200"/>
        <w:rPr>
          <w:rFonts w:hint="eastAsia" w:hAnsi="宋体"/>
          <w:b/>
          <w:bCs/>
          <w:color w:val="FF0000"/>
          <w:sz w:val="24"/>
          <w:lang w:val="en-US" w:eastAsia="zh-CN"/>
        </w:rPr>
      </w:pPr>
      <w:r>
        <w:rPr>
          <w:rFonts w:hint="eastAsia" w:hAnsi="宋体"/>
          <w:color w:val="auto"/>
          <w:sz w:val="24"/>
          <w:lang w:val="en-US" w:eastAsia="zh-CN"/>
        </w:rPr>
        <w:t>2</w:t>
      </w:r>
      <w:r>
        <w:rPr>
          <w:rFonts w:hint="eastAsia" w:hAnsi="宋体" w:eastAsia="宋体"/>
          <w:color w:val="auto"/>
          <w:sz w:val="24"/>
          <w:lang w:val="en-US" w:eastAsia="zh-CN"/>
        </w:rPr>
        <w:t>、最终验收：</w:t>
      </w:r>
      <w:r>
        <w:rPr>
          <w:rFonts w:hint="eastAsia" w:hAnsi="宋体"/>
          <w:color w:val="auto"/>
          <w:sz w:val="24"/>
          <w:lang w:val="en-US" w:eastAsia="zh-CN"/>
        </w:rPr>
        <w:t>中标人在检测服务结束后，向采购人提出验收请求并提交完整的检测资料，含建筑电气消防安全检测报告、孔洞封堵记录表、检测现场照片等。采购人对所采购检测服务的主要指标进行验收，</w:t>
      </w:r>
      <w:r>
        <w:rPr>
          <w:rFonts w:hint="eastAsia" w:ascii="宋体" w:hAnsi="宋体" w:cs="宋体"/>
          <w:kern w:val="0"/>
          <w:sz w:val="24"/>
        </w:rPr>
        <w:t>验收合格后签发《验收报告》；验收不合格，或乙方提供的</w:t>
      </w:r>
      <w:r>
        <w:rPr>
          <w:rFonts w:hint="eastAsia" w:ascii="宋体" w:hAnsi="宋体" w:cs="宋体"/>
          <w:kern w:val="0"/>
          <w:sz w:val="24"/>
          <w:lang w:eastAsia="zh-CN"/>
        </w:rPr>
        <w:t>检测</w:t>
      </w:r>
      <w:r>
        <w:rPr>
          <w:rFonts w:hint="eastAsia" w:ascii="宋体" w:hAnsi="宋体" w:cs="宋体"/>
          <w:kern w:val="0"/>
          <w:sz w:val="24"/>
        </w:rPr>
        <w:t>服务未能满足招标文件和投标文件规定要求，验收将不予通过。</w:t>
      </w:r>
    </w:p>
    <w:p w14:paraId="7D662F17">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5"/>
    <w:bookmarkEnd w:id="56"/>
    <w:bookmarkEnd w:id="57"/>
    <w:bookmarkEnd w:id="58"/>
    <w:bookmarkEnd w:id="59"/>
    <w:bookmarkEnd w:id="60"/>
    <w:p w14:paraId="6D30185F">
      <w:pPr>
        <w:spacing w:line="440" w:lineRule="exact"/>
        <w:ind w:firstLine="480" w:firstLineChars="200"/>
        <w:rPr>
          <w:rFonts w:hint="eastAsia" w:hAnsi="宋体"/>
          <w:b/>
          <w:bCs/>
          <w:color w:val="auto"/>
          <w:sz w:val="24"/>
        </w:rPr>
      </w:pPr>
      <w:bookmarkStart w:id="63"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5C519FA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4085E41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25416FB8">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w:t>
      </w:r>
      <w:bookmarkStart w:id="96" w:name="_GoBack"/>
      <w:bookmarkEnd w:id="96"/>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30B2AC88">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四、检测地点及时间</w:t>
      </w:r>
    </w:p>
    <w:p w14:paraId="252B59CB">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完成签订合同后，中标人需在30天内</w:t>
      </w:r>
      <w:r>
        <w:rPr>
          <w:rFonts w:hint="eastAsia" w:ascii="宋体" w:hAnsi="宋体" w:eastAsia="宋体" w:cs="宋体"/>
          <w:color w:val="auto"/>
          <w:sz w:val="24"/>
          <w:szCs w:val="24"/>
          <w:lang w:val="en-US" w:eastAsia="zh-CN"/>
        </w:rPr>
        <w:t>按照</w:t>
      </w:r>
      <w:r>
        <w:rPr>
          <w:rFonts w:hint="eastAsia" w:ascii="宋体" w:hAnsi="宋体" w:eastAsia="宋体" w:cs="宋体"/>
          <w:kern w:val="0"/>
          <w:sz w:val="24"/>
          <w:szCs w:val="24"/>
        </w:rPr>
        <w:t>招标文件、投标文件、合同等相关文件</w:t>
      </w:r>
      <w:r>
        <w:rPr>
          <w:rFonts w:hint="eastAsia" w:ascii="宋体" w:hAnsi="宋体" w:eastAsia="宋体" w:cs="宋体"/>
          <w:color w:val="auto"/>
          <w:sz w:val="24"/>
          <w:szCs w:val="24"/>
          <w:lang w:val="en-US" w:eastAsia="zh-CN"/>
        </w:rPr>
        <w:t>，完成对所有建筑的建筑电气</w:t>
      </w:r>
      <w:r>
        <w:rPr>
          <w:rFonts w:hint="eastAsia" w:ascii="宋体" w:hAnsi="宋体" w:cs="宋体"/>
          <w:color w:val="auto"/>
          <w:sz w:val="24"/>
          <w:szCs w:val="24"/>
          <w:lang w:val="en-US" w:eastAsia="zh-CN"/>
        </w:rPr>
        <w:t>消防</w:t>
      </w:r>
      <w:r>
        <w:rPr>
          <w:rFonts w:hint="eastAsia" w:ascii="宋体" w:hAnsi="宋体" w:eastAsia="宋体" w:cs="宋体"/>
          <w:color w:val="auto"/>
          <w:sz w:val="24"/>
          <w:szCs w:val="24"/>
          <w:lang w:val="en-US" w:eastAsia="zh-CN"/>
        </w:rPr>
        <w:t>安全检测，封堵楼栋主配电室的孔洞，出具相关的检测报告。检测地点为泉州师范学院主校区和泉州师范学院南安校区。</w:t>
      </w:r>
    </w:p>
    <w:p w14:paraId="4077A74B">
      <w:pPr>
        <w:pStyle w:val="2"/>
        <w:rPr>
          <w:rFonts w:hint="default"/>
          <w:lang w:val="en-US" w:eastAsia="zh-CN"/>
        </w:rPr>
      </w:pPr>
    </w:p>
    <w:p w14:paraId="0A3FF758">
      <w:pPr>
        <w:spacing w:line="440" w:lineRule="exact"/>
        <w:rPr>
          <w:rFonts w:hint="eastAsia" w:ascii="宋体" w:hAnsi="宋体"/>
          <w:b/>
          <w:color w:val="FF0000"/>
          <w:kern w:val="0"/>
          <w:sz w:val="24"/>
          <w:lang w:val="en-US" w:eastAsia="zh-CN"/>
        </w:rPr>
      </w:pPr>
    </w:p>
    <w:p w14:paraId="46481D72">
      <w:pPr>
        <w:spacing w:line="440" w:lineRule="exact"/>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w:t>
      </w:r>
      <w:r>
        <w:rPr>
          <w:rFonts w:ascii="宋体" w:hAnsi="宋体"/>
          <w:b/>
          <w:color w:val="000000" w:themeColor="text1"/>
          <w:kern w:val="0"/>
          <w:sz w:val="24"/>
          <w14:textFill>
            <w14:solidFill>
              <w14:schemeClr w14:val="tx1"/>
            </w14:solidFill>
          </w14:textFill>
        </w:rPr>
        <w:t>、付款方式</w:t>
      </w:r>
    </w:p>
    <w:p w14:paraId="0AD60C52">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付款：最终验收合格后</w:t>
      </w:r>
      <w:r>
        <w:rPr>
          <w:rFonts w:hint="eastAsia" w:ascii="宋体" w:hAnsi="宋体" w:eastAsia="宋体" w:cs="宋体"/>
          <w:color w:val="auto"/>
          <w:kern w:val="2"/>
          <w:sz w:val="24"/>
          <w:szCs w:val="24"/>
          <w:highlight w:val="none"/>
          <w:lang w:val="en-US" w:eastAsia="zh-CN" w:bidi="ar-SA"/>
        </w:rPr>
        <w:t>并收到税务发票后，采购人</w:t>
      </w:r>
      <w:r>
        <w:rPr>
          <w:rFonts w:hint="eastAsia" w:ascii="宋体" w:hAnsi="宋体" w:eastAsia="宋体" w:cs="宋体"/>
          <w:kern w:val="0"/>
          <w:sz w:val="24"/>
          <w:szCs w:val="24"/>
        </w:rPr>
        <w:t>30日内付清100%货款。</w:t>
      </w:r>
    </w:p>
    <w:p w14:paraId="6C941A2D">
      <w:pPr>
        <w:adjustRightInd w:val="0"/>
        <w:snapToGrid w:val="0"/>
        <w:spacing w:line="360" w:lineRule="auto"/>
        <w:ind w:firstLine="480" w:firstLineChars="200"/>
        <w:rPr>
          <w:rFonts w:hint="eastAsia" w:ascii="宋体" w:hAnsi="宋体" w:eastAsia="宋体" w:cs="宋体"/>
          <w:b/>
          <w:color w:val="FF0000"/>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color w:val="auto"/>
          <w:sz w:val="24"/>
          <w:szCs w:val="24"/>
        </w:rPr>
        <w:t>投标人、收款单位、购货票证开票单位三者应一致，</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收款</w:t>
      </w:r>
      <w:r>
        <w:rPr>
          <w:rFonts w:hint="eastAsia" w:ascii="宋体" w:hAnsi="宋体" w:cs="宋体"/>
          <w:color w:val="auto"/>
          <w:sz w:val="24"/>
          <w:szCs w:val="24"/>
          <w:lang w:eastAsia="zh-CN"/>
        </w:rPr>
        <w:t>账</w:t>
      </w:r>
      <w:r>
        <w:rPr>
          <w:rFonts w:hint="eastAsia" w:ascii="宋体" w:hAnsi="宋体" w:eastAsia="宋体" w:cs="宋体"/>
          <w:color w:val="auto"/>
          <w:sz w:val="24"/>
          <w:szCs w:val="24"/>
        </w:rPr>
        <w:t>号应为中国人民银行批准的</w:t>
      </w:r>
      <w:r>
        <w:rPr>
          <w:rFonts w:hint="eastAsia" w:ascii="宋体" w:hAnsi="宋体" w:cs="宋体"/>
          <w:color w:val="auto"/>
          <w:sz w:val="24"/>
          <w:szCs w:val="24"/>
          <w:lang w:eastAsia="zh-CN"/>
        </w:rPr>
        <w:t>账</w:t>
      </w:r>
      <w:r>
        <w:rPr>
          <w:rFonts w:hint="eastAsia" w:ascii="宋体" w:hAnsi="宋体" w:eastAsia="宋体" w:cs="宋体"/>
          <w:color w:val="auto"/>
          <w:sz w:val="24"/>
          <w:szCs w:val="24"/>
        </w:rPr>
        <w:t>户。</w:t>
      </w:r>
    </w:p>
    <w:bookmarkEnd w:id="51"/>
    <w:bookmarkEnd w:id="52"/>
    <w:bookmarkEnd w:id="53"/>
    <w:bookmarkEnd w:id="54"/>
    <w:bookmarkEnd w:id="61"/>
    <w:bookmarkEnd w:id="62"/>
    <w:bookmarkEnd w:id="63"/>
    <w:p w14:paraId="25D7DC33">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1C64BDA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A1238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7408062">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64B1820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BA05CB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10278439">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6F583E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293D81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E1ACD8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2155ED6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3AA8A108">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285CB32">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E94C623">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7"/>
    <w:bookmarkEnd w:id="48"/>
    <w:p w14:paraId="08E9939D">
      <w:pPr>
        <w:pStyle w:val="16"/>
        <w:rPr>
          <w:rFonts w:hint="eastAsia"/>
          <w:color w:val="auto"/>
          <w:highlight w:val="none"/>
          <w:lang w:eastAsia="zh-CN"/>
        </w:rPr>
      </w:pPr>
    </w:p>
    <w:p w14:paraId="6DF585DD">
      <w:pPr>
        <w:pStyle w:val="3"/>
        <w:spacing w:before="120" w:after="120" w:line="400" w:lineRule="exact"/>
        <w:jc w:val="center"/>
        <w:rPr>
          <w:rFonts w:hint="eastAsia" w:ascii="宋体" w:hAnsi="宋体" w:eastAsia="宋体"/>
          <w:color w:val="auto"/>
          <w:szCs w:val="32"/>
          <w:highlight w:val="none"/>
        </w:rPr>
      </w:pPr>
      <w:bookmarkStart w:id="64" w:name="_Toc1683"/>
      <w:r>
        <w:rPr>
          <w:rFonts w:hint="eastAsia" w:ascii="宋体" w:hAnsi="宋体" w:eastAsia="宋体"/>
          <w:color w:val="auto"/>
          <w:szCs w:val="32"/>
          <w:highlight w:val="none"/>
        </w:rPr>
        <w:br w:type="page"/>
      </w:r>
      <w:bookmarkStart w:id="65" w:name="_Toc29063"/>
      <w:bookmarkStart w:id="66"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4"/>
      <w:bookmarkEnd w:id="65"/>
      <w:bookmarkEnd w:id="66"/>
    </w:p>
    <w:p w14:paraId="1E4C61A4">
      <w:pPr>
        <w:spacing w:line="360" w:lineRule="auto"/>
        <w:rPr>
          <w:rFonts w:hint="eastAsia" w:ascii="宋体" w:hAnsi="宋体"/>
          <w:b/>
          <w:color w:val="auto"/>
          <w:sz w:val="28"/>
          <w:szCs w:val="28"/>
          <w:highlight w:val="none"/>
        </w:rPr>
      </w:pPr>
    </w:p>
    <w:p w14:paraId="638ACCDC">
      <w:pPr>
        <w:spacing w:line="360" w:lineRule="auto"/>
        <w:jc w:val="center"/>
        <w:rPr>
          <w:rFonts w:hint="eastAsia" w:ascii="宋体" w:hAnsi="宋体"/>
          <w:b/>
          <w:color w:val="auto"/>
          <w:sz w:val="72"/>
          <w:highlight w:val="none"/>
        </w:rPr>
      </w:pPr>
    </w:p>
    <w:p w14:paraId="58618D0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4C371000">
      <w:pPr>
        <w:spacing w:line="360" w:lineRule="auto"/>
        <w:jc w:val="center"/>
        <w:outlineLvl w:val="9"/>
        <w:rPr>
          <w:rFonts w:hint="eastAsia" w:ascii="宋体" w:hAnsi="宋体"/>
          <w:b/>
          <w:color w:val="auto"/>
          <w:sz w:val="36"/>
          <w:highlight w:val="none"/>
        </w:rPr>
      </w:pPr>
    </w:p>
    <w:p w14:paraId="75DA8809">
      <w:pPr>
        <w:spacing w:line="360" w:lineRule="auto"/>
        <w:jc w:val="center"/>
        <w:outlineLvl w:val="9"/>
        <w:rPr>
          <w:rFonts w:hint="eastAsia" w:ascii="宋体" w:hAnsi="宋体"/>
          <w:b/>
          <w:color w:val="auto"/>
          <w:sz w:val="36"/>
          <w:highlight w:val="none"/>
        </w:rPr>
      </w:pPr>
    </w:p>
    <w:p w14:paraId="7A258C36">
      <w:pPr>
        <w:spacing w:line="360" w:lineRule="auto"/>
        <w:jc w:val="center"/>
        <w:outlineLvl w:val="9"/>
        <w:rPr>
          <w:rFonts w:hint="eastAsia" w:ascii="宋体" w:hAnsi="宋体"/>
          <w:b/>
          <w:color w:val="auto"/>
          <w:sz w:val="36"/>
          <w:highlight w:val="none"/>
        </w:rPr>
      </w:pPr>
    </w:p>
    <w:p w14:paraId="73C3DBD5">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eastAsia="宋体" w:cs="宋体"/>
          <w:b/>
          <w:bCs/>
          <w:i w:val="0"/>
          <w:iCs w:val="0"/>
          <w:caps w:val="0"/>
          <w:color w:val="333333"/>
          <w:spacing w:val="0"/>
          <w:sz w:val="36"/>
          <w:szCs w:val="36"/>
          <w:u w:val="single"/>
          <w:shd w:val="clear" w:fill="FFFFFF"/>
        </w:rPr>
        <w:t>HQZCCG202400</w:t>
      </w:r>
      <w:r>
        <w:rPr>
          <w:rFonts w:hint="eastAsia" w:ascii="宋体" w:hAnsi="宋体" w:eastAsia="宋体" w:cs="宋体"/>
          <w:b/>
          <w:bCs/>
          <w:i w:val="0"/>
          <w:iCs w:val="0"/>
          <w:caps w:val="0"/>
          <w:color w:val="333333"/>
          <w:spacing w:val="0"/>
          <w:sz w:val="36"/>
          <w:szCs w:val="36"/>
          <w:u w:val="single"/>
          <w:shd w:val="clear" w:fill="FFFFFF"/>
          <w:lang w:val="en-US" w:eastAsia="zh-CN"/>
        </w:rPr>
        <w:t>3</w:t>
      </w:r>
      <w:r>
        <w:rPr>
          <w:rFonts w:hint="eastAsia" w:ascii="宋体" w:hAnsi="宋体"/>
          <w:b/>
          <w:color w:val="auto"/>
          <w:sz w:val="36"/>
          <w:highlight w:val="none"/>
          <w:u w:val="single"/>
        </w:rPr>
        <w:t xml:space="preserve"> </w:t>
      </w:r>
    </w:p>
    <w:p w14:paraId="66FC81D9">
      <w:pPr>
        <w:spacing w:line="360" w:lineRule="auto"/>
        <w:ind w:left="1436" w:leftChars="684" w:firstLine="173" w:firstLineChars="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szCs w:val="36"/>
          <w:highlight w:val="none"/>
          <w:u w:val="single"/>
          <w:lang w:val="en-US" w:eastAsia="zh-CN"/>
        </w:rPr>
        <w:t>2024年泉州师范学院建筑电气消防安全检测服务采购项目</w:t>
      </w:r>
    </w:p>
    <w:p w14:paraId="3F590E71">
      <w:pPr>
        <w:spacing w:line="360" w:lineRule="auto"/>
        <w:outlineLvl w:val="9"/>
        <w:rPr>
          <w:rFonts w:hint="eastAsia" w:ascii="宋体" w:hAnsi="宋体"/>
          <w:color w:val="auto"/>
          <w:sz w:val="28"/>
          <w:szCs w:val="28"/>
          <w:highlight w:val="none"/>
        </w:rPr>
      </w:pPr>
    </w:p>
    <w:p w14:paraId="14258B34">
      <w:pPr>
        <w:pStyle w:val="14"/>
        <w:rPr>
          <w:rFonts w:hint="eastAsia"/>
          <w:color w:val="auto"/>
          <w:highlight w:val="none"/>
        </w:rPr>
      </w:pPr>
    </w:p>
    <w:p w14:paraId="403EF2C2">
      <w:pPr>
        <w:spacing w:line="360" w:lineRule="auto"/>
        <w:rPr>
          <w:rFonts w:hint="eastAsia" w:ascii="宋体" w:hAnsi="宋体"/>
          <w:b/>
          <w:color w:val="auto"/>
          <w:sz w:val="36"/>
          <w:highlight w:val="none"/>
        </w:rPr>
      </w:pPr>
    </w:p>
    <w:p w14:paraId="46285DAE">
      <w:pPr>
        <w:pStyle w:val="14"/>
        <w:rPr>
          <w:rFonts w:hint="eastAsia"/>
          <w:color w:val="auto"/>
          <w:highlight w:val="none"/>
        </w:rPr>
      </w:pPr>
    </w:p>
    <w:p w14:paraId="190DDA62">
      <w:pPr>
        <w:spacing w:line="360" w:lineRule="auto"/>
        <w:outlineLvl w:val="9"/>
        <w:rPr>
          <w:rFonts w:hint="eastAsia" w:ascii="宋体" w:hAnsi="宋体"/>
          <w:b/>
          <w:color w:val="auto"/>
          <w:sz w:val="36"/>
          <w:highlight w:val="none"/>
        </w:rPr>
      </w:pPr>
    </w:p>
    <w:p w14:paraId="0983D9A0">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A9FB3B9">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FAFE9C0">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706C8AB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C3C68C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6401B1C">
      <w:pPr>
        <w:pStyle w:val="14"/>
        <w:rPr>
          <w:rFonts w:hint="eastAsia"/>
          <w:color w:val="auto"/>
          <w:highlight w:val="none"/>
        </w:rPr>
      </w:pPr>
    </w:p>
    <w:p w14:paraId="482A6258">
      <w:pPr>
        <w:rPr>
          <w:rFonts w:hint="eastAsia"/>
          <w:color w:val="auto"/>
          <w:highlight w:val="none"/>
        </w:rPr>
      </w:pPr>
    </w:p>
    <w:p w14:paraId="59E450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8733AA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7" w:name="_Toc29646"/>
      <w:bookmarkStart w:id="68" w:name="_Toc14215"/>
      <w:bookmarkStart w:id="69" w:name="_Toc12112"/>
      <w:bookmarkStart w:id="70" w:name="_Toc1376"/>
      <w:bookmarkStart w:id="71" w:name="_Toc502907889"/>
      <w:bookmarkStart w:id="72" w:name="_Toc373141305"/>
      <w:bookmarkStart w:id="73" w:name="_Toc372013039"/>
      <w:bookmarkStart w:id="74" w:name="_Toc393727156"/>
      <w:bookmarkStart w:id="75" w:name="_Toc432513145"/>
      <w:bookmarkStart w:id="76"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7"/>
      <w:bookmarkEnd w:id="68"/>
      <w:bookmarkEnd w:id="69"/>
      <w:bookmarkEnd w:id="70"/>
    </w:p>
    <w:p w14:paraId="6E1D177A">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8427DC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泉州师范学院后勤管理处      </w:t>
      </w:r>
    </w:p>
    <w:p w14:paraId="7FCFE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2024年泉州师范学院建筑电气消防安全检测服务采购项目（</w:t>
      </w:r>
      <w:r>
        <w:rPr>
          <w:rFonts w:hint="eastAsia" w:ascii="宋体" w:hAnsi="宋体" w:eastAsia="宋体" w:cs="宋体"/>
          <w:b w:val="0"/>
          <w:bCs w:val="0"/>
          <w:i w:val="0"/>
          <w:iCs w:val="0"/>
          <w:caps w:val="0"/>
          <w:color w:val="333333"/>
          <w:spacing w:val="0"/>
          <w:sz w:val="24"/>
          <w:szCs w:val="24"/>
          <w:u w:val="single"/>
          <w:shd w:val="clear" w:fill="FFFFFF"/>
        </w:rPr>
        <w:t>HQZCCG202400</w:t>
      </w:r>
      <w:r>
        <w:rPr>
          <w:rFonts w:hint="eastAsia" w:ascii="宋体" w:hAnsi="宋体" w:eastAsia="宋体" w:cs="宋体"/>
          <w:b w:val="0"/>
          <w:bCs w:val="0"/>
          <w:i w:val="0"/>
          <w:iCs w:val="0"/>
          <w:caps w:val="0"/>
          <w:color w:val="333333"/>
          <w:spacing w:val="0"/>
          <w:sz w:val="24"/>
          <w:szCs w:val="24"/>
          <w:u w:val="single"/>
          <w:shd w:val="clear" w:fill="FFFFFF"/>
          <w:lang w:val="en-US" w:eastAsia="zh-CN"/>
        </w:rPr>
        <w:t>3</w:t>
      </w:r>
      <w:r>
        <w:rPr>
          <w:rFonts w:hint="eastAsia" w:ascii="宋体" w:hAnsi="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4DB7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4384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7C25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4281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ECE0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CC98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223E5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0B73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EEC1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0128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0C2D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999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CB0B68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4E8674A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DEDDF0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1688EB0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2DB26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2B17685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E0B007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358DDF1">
      <w:pPr>
        <w:pStyle w:val="16"/>
        <w:rPr>
          <w:rFonts w:hint="eastAsia"/>
          <w:color w:val="auto"/>
          <w:highlight w:val="none"/>
        </w:rPr>
      </w:pPr>
    </w:p>
    <w:p w14:paraId="38E72404">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85F9504">
      <w:pPr>
        <w:pStyle w:val="2"/>
        <w:rPr>
          <w:rFonts w:hint="eastAsia"/>
        </w:rPr>
      </w:pPr>
    </w:p>
    <w:p w14:paraId="6F65F65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1"/>
      <w:bookmarkEnd w:id="72"/>
      <w:bookmarkEnd w:id="73"/>
      <w:bookmarkEnd w:id="74"/>
      <w:bookmarkEnd w:id="75"/>
      <w:bookmarkEnd w:id="76"/>
      <w:bookmarkStart w:id="77" w:name="_Toc20566"/>
      <w:bookmarkStart w:id="78" w:name="_Toc26916"/>
      <w:bookmarkStart w:id="79" w:name="_Toc4358"/>
      <w:bookmarkStart w:id="80" w:name="_Toc13976"/>
      <w:r>
        <w:rPr>
          <w:rFonts w:hint="eastAsia" w:ascii="宋体" w:hAnsi="宋体" w:eastAsia="宋体" w:cs="宋体"/>
          <w:b/>
          <w:color w:val="auto"/>
          <w:sz w:val="28"/>
          <w:szCs w:val="28"/>
          <w:highlight w:val="none"/>
        </w:rPr>
        <w:t>格式2                       报价一览表</w:t>
      </w:r>
      <w:bookmarkEnd w:id="77"/>
      <w:bookmarkEnd w:id="78"/>
      <w:bookmarkEnd w:id="79"/>
      <w:bookmarkEnd w:id="80"/>
    </w:p>
    <w:p w14:paraId="66876A7A">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781E6C5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ECD9A4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DA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1E957D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AFE75A2">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65E5AB8">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2576B1A">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BBF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607A0AB">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C37D8EC">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019C7BAF">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B88574B">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094EAD6">
      <w:pPr>
        <w:pStyle w:val="2"/>
        <w:rPr>
          <w:rFonts w:hint="eastAsia" w:ascii="宋体" w:hAnsi="宋体" w:eastAsia="宋体" w:cs="宋体"/>
          <w:color w:val="auto"/>
          <w:sz w:val="24"/>
          <w:szCs w:val="24"/>
          <w:highlight w:val="none"/>
          <w:u w:val="single"/>
        </w:rPr>
      </w:pPr>
    </w:p>
    <w:p w14:paraId="73AE88AD">
      <w:pPr>
        <w:pStyle w:val="2"/>
        <w:rPr>
          <w:rFonts w:hint="eastAsia" w:ascii="宋体" w:hAnsi="宋体" w:eastAsia="宋体" w:cs="宋体"/>
          <w:color w:val="auto"/>
          <w:sz w:val="24"/>
          <w:szCs w:val="24"/>
          <w:highlight w:val="none"/>
          <w:u w:val="single"/>
        </w:rPr>
      </w:pPr>
    </w:p>
    <w:p w14:paraId="213E9131">
      <w:pPr>
        <w:pStyle w:val="2"/>
        <w:rPr>
          <w:rFonts w:hint="eastAsia" w:ascii="宋体" w:hAnsi="宋体" w:eastAsia="宋体" w:cs="宋体"/>
          <w:color w:val="auto"/>
          <w:sz w:val="24"/>
          <w:szCs w:val="24"/>
          <w:highlight w:val="none"/>
          <w:u w:val="single"/>
        </w:rPr>
      </w:pPr>
    </w:p>
    <w:p w14:paraId="1D41840B">
      <w:pPr>
        <w:pStyle w:val="2"/>
        <w:rPr>
          <w:rFonts w:hint="eastAsia" w:ascii="宋体" w:hAnsi="宋体" w:eastAsia="宋体" w:cs="宋体"/>
          <w:color w:val="auto"/>
          <w:sz w:val="24"/>
          <w:szCs w:val="24"/>
          <w:highlight w:val="none"/>
          <w:u w:val="single"/>
        </w:rPr>
      </w:pPr>
    </w:p>
    <w:p w14:paraId="45C07B5A">
      <w:pPr>
        <w:pStyle w:val="2"/>
        <w:rPr>
          <w:rFonts w:hint="eastAsia" w:ascii="宋体" w:hAnsi="宋体" w:eastAsia="宋体" w:cs="宋体"/>
          <w:color w:val="auto"/>
          <w:sz w:val="24"/>
          <w:szCs w:val="24"/>
          <w:highlight w:val="none"/>
          <w:u w:val="single"/>
        </w:rPr>
      </w:pPr>
    </w:p>
    <w:p w14:paraId="4D5D07E1">
      <w:pPr>
        <w:spacing w:line="360" w:lineRule="auto"/>
        <w:ind w:firstLine="2400" w:firstLineChars="1000"/>
        <w:rPr>
          <w:rFonts w:hint="eastAsia" w:ascii="宋体" w:hAnsi="宋体" w:eastAsia="宋体" w:cs="宋体"/>
          <w:color w:val="auto"/>
          <w:sz w:val="24"/>
          <w:szCs w:val="24"/>
          <w:highlight w:val="none"/>
        </w:rPr>
      </w:pPr>
    </w:p>
    <w:p w14:paraId="3EDD468E">
      <w:pPr>
        <w:spacing w:line="360" w:lineRule="auto"/>
        <w:ind w:firstLine="2400" w:firstLineChars="1000"/>
        <w:rPr>
          <w:rFonts w:hint="eastAsia" w:ascii="宋体" w:hAnsi="宋体" w:eastAsia="宋体" w:cs="宋体"/>
          <w:color w:val="auto"/>
          <w:sz w:val="24"/>
          <w:szCs w:val="24"/>
          <w:highlight w:val="none"/>
        </w:rPr>
      </w:pPr>
    </w:p>
    <w:p w14:paraId="090B020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A68EEF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823090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71BA52A">
      <w:pPr>
        <w:spacing w:line="360" w:lineRule="auto"/>
        <w:rPr>
          <w:rFonts w:hint="eastAsia" w:ascii="宋体" w:hAnsi="宋体" w:eastAsia="宋体" w:cs="宋体"/>
          <w:color w:val="auto"/>
          <w:sz w:val="24"/>
          <w:szCs w:val="24"/>
          <w:highlight w:val="none"/>
        </w:rPr>
      </w:pPr>
    </w:p>
    <w:p w14:paraId="2C4787A0">
      <w:pPr>
        <w:spacing w:line="360" w:lineRule="auto"/>
        <w:rPr>
          <w:rFonts w:hint="eastAsia" w:ascii="宋体" w:hAnsi="宋体" w:eastAsia="宋体" w:cs="宋体"/>
          <w:color w:val="auto"/>
          <w:sz w:val="24"/>
          <w:szCs w:val="24"/>
          <w:highlight w:val="none"/>
        </w:rPr>
      </w:pPr>
    </w:p>
    <w:p w14:paraId="2AC97D21">
      <w:pPr>
        <w:rPr>
          <w:rFonts w:hint="eastAsia" w:ascii="宋体" w:hAnsi="宋体" w:eastAsia="宋体" w:cs="宋体"/>
          <w:color w:val="auto"/>
          <w:sz w:val="28"/>
          <w:szCs w:val="28"/>
          <w:highlight w:val="none"/>
        </w:rPr>
      </w:pPr>
    </w:p>
    <w:p w14:paraId="04C397AA">
      <w:pPr>
        <w:rPr>
          <w:rFonts w:hint="eastAsia" w:ascii="宋体" w:hAnsi="宋体" w:eastAsia="宋体" w:cs="宋体"/>
          <w:color w:val="auto"/>
          <w:sz w:val="28"/>
          <w:szCs w:val="28"/>
          <w:highlight w:val="none"/>
        </w:rPr>
      </w:pPr>
    </w:p>
    <w:p w14:paraId="2A01D5FD">
      <w:pPr>
        <w:rPr>
          <w:rFonts w:hint="eastAsia" w:ascii="宋体" w:hAnsi="宋体" w:eastAsia="宋体" w:cs="宋体"/>
          <w:color w:val="auto"/>
          <w:sz w:val="28"/>
          <w:szCs w:val="28"/>
          <w:highlight w:val="none"/>
        </w:rPr>
      </w:pPr>
    </w:p>
    <w:p w14:paraId="79B6E31D">
      <w:pPr>
        <w:rPr>
          <w:rFonts w:hint="eastAsia" w:ascii="宋体" w:hAnsi="宋体" w:eastAsia="宋体" w:cs="宋体"/>
          <w:color w:val="auto"/>
          <w:sz w:val="28"/>
          <w:szCs w:val="28"/>
          <w:highlight w:val="none"/>
        </w:rPr>
      </w:pPr>
    </w:p>
    <w:p w14:paraId="45378F14">
      <w:pPr>
        <w:pStyle w:val="16"/>
        <w:rPr>
          <w:rFonts w:hint="eastAsia" w:ascii="宋体" w:hAnsi="宋体" w:eastAsia="宋体" w:cs="宋体"/>
          <w:color w:val="auto"/>
          <w:sz w:val="28"/>
          <w:szCs w:val="28"/>
          <w:highlight w:val="none"/>
        </w:rPr>
      </w:pPr>
    </w:p>
    <w:p w14:paraId="425B0E40">
      <w:pPr>
        <w:pStyle w:val="16"/>
        <w:rPr>
          <w:rFonts w:hint="eastAsia" w:ascii="宋体" w:hAnsi="宋体" w:eastAsia="宋体" w:cs="宋体"/>
          <w:color w:val="auto"/>
          <w:sz w:val="28"/>
          <w:szCs w:val="28"/>
          <w:highlight w:val="none"/>
        </w:rPr>
      </w:pPr>
    </w:p>
    <w:p w14:paraId="6CBD7E09">
      <w:pPr>
        <w:pStyle w:val="16"/>
        <w:rPr>
          <w:rFonts w:hint="eastAsia" w:ascii="宋体" w:hAnsi="宋体" w:eastAsia="宋体" w:cs="宋体"/>
          <w:color w:val="auto"/>
          <w:sz w:val="28"/>
          <w:szCs w:val="28"/>
          <w:highlight w:val="none"/>
        </w:rPr>
      </w:pPr>
    </w:p>
    <w:p w14:paraId="27E0F613">
      <w:pPr>
        <w:pStyle w:val="16"/>
        <w:rPr>
          <w:rFonts w:hint="eastAsia" w:ascii="宋体" w:hAnsi="宋体" w:cs="宋体"/>
          <w:color w:val="auto"/>
          <w:sz w:val="28"/>
          <w:szCs w:val="28"/>
          <w:highlight w:val="none"/>
          <w:lang w:val="en-US" w:eastAsia="zh-CN"/>
        </w:rPr>
      </w:pPr>
    </w:p>
    <w:p w14:paraId="63F44DF5">
      <w:pPr>
        <w:spacing w:line="440" w:lineRule="exact"/>
        <w:jc w:val="both"/>
        <w:outlineLvl w:val="0"/>
        <w:rPr>
          <w:rFonts w:hint="eastAsia" w:ascii="宋体" w:hAnsi="宋体" w:eastAsia="宋体" w:cs="宋体"/>
          <w:b/>
          <w:color w:val="auto"/>
          <w:sz w:val="28"/>
          <w:szCs w:val="28"/>
          <w:highlight w:val="none"/>
        </w:rPr>
      </w:pPr>
      <w:bookmarkStart w:id="81" w:name="_Toc24019"/>
      <w:bookmarkStart w:id="82" w:name="_Toc24037"/>
      <w:bookmarkStart w:id="83" w:name="_Toc29026"/>
      <w:bookmarkStart w:id="84" w:name="_Toc102"/>
      <w:bookmarkStart w:id="85" w:name="_Toc432513149"/>
      <w:bookmarkStart w:id="86" w:name="_Toc393727163"/>
      <w:bookmarkStart w:id="87" w:name="_Toc373141312"/>
      <w:bookmarkStart w:id="88" w:name="_Toc23010"/>
      <w:bookmarkStart w:id="89" w:name="_Toc372013046"/>
      <w:bookmarkStart w:id="90" w:name="_Toc145132116"/>
      <w:bookmarkStart w:id="91" w:name="_Toc50290789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1"/>
      <w:bookmarkEnd w:id="82"/>
      <w:bookmarkEnd w:id="83"/>
      <w:bookmarkEnd w:id="84"/>
    </w:p>
    <w:p w14:paraId="36F153E1">
      <w:pPr>
        <w:spacing w:line="440" w:lineRule="exact"/>
        <w:ind w:firstLine="2940" w:firstLineChars="1046"/>
        <w:jc w:val="left"/>
        <w:rPr>
          <w:rFonts w:hint="eastAsia" w:ascii="宋体" w:hAnsi="宋体" w:eastAsia="宋体" w:cs="宋体"/>
          <w:b/>
          <w:color w:val="auto"/>
          <w:sz w:val="28"/>
          <w:szCs w:val="28"/>
          <w:highlight w:val="none"/>
        </w:rPr>
      </w:pPr>
    </w:p>
    <w:p w14:paraId="246046F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1BB4AEB">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74FBE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83D05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58F227">
      <w:pPr>
        <w:spacing w:line="360" w:lineRule="auto"/>
        <w:ind w:firstLine="480" w:firstLineChars="200"/>
        <w:rPr>
          <w:rFonts w:hint="eastAsia" w:ascii="宋体" w:hAnsi="宋体" w:eastAsia="宋体" w:cs="宋体"/>
          <w:color w:val="auto"/>
          <w:sz w:val="24"/>
          <w:szCs w:val="24"/>
          <w:highlight w:val="none"/>
        </w:rPr>
      </w:pPr>
    </w:p>
    <w:p w14:paraId="147A71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862636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782ABE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9173B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55FEB3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C72AE9">
      <w:pPr>
        <w:pStyle w:val="14"/>
        <w:rPr>
          <w:rFonts w:hint="eastAsia"/>
          <w:color w:val="auto"/>
          <w:highlight w:val="none"/>
        </w:rPr>
      </w:pPr>
    </w:p>
    <w:p w14:paraId="471C1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9890CDF">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03D12B2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22FCA9DB">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合格有效的营业执照副本有效复印件；</w:t>
      </w:r>
    </w:p>
    <w:p w14:paraId="4446BD86">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法定代表人对</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1D160AF6">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法定代表人和</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7D4E446D">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谈判代表身份证正反面有效复印件；</w:t>
      </w:r>
    </w:p>
    <w:p w14:paraId="11E18BAA">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（5）提供2022年度经审计的财务报告或 2023年以来基本开户银行出具的资信证明；</w:t>
      </w:r>
    </w:p>
    <w:p w14:paraId="22854DBF">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（6）提供承诺书或人员、设备一览表；</w:t>
      </w:r>
    </w:p>
    <w:p w14:paraId="45C76995">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（7）提供2023年01月（含01月）后至今任意3个月依法缴纳社会保险的相关证明材料；提供2023年01月（含01月）后至今任意3个月依法缴纳税收的相关证明材料；</w:t>
      </w:r>
    </w:p>
    <w:p w14:paraId="6A107E14">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eastAsia="宋体" w:cs="宋体"/>
          <w:b/>
          <w:bCs/>
          <w:color w:val="auto"/>
          <w:sz w:val="24"/>
          <w:szCs w:val="24"/>
          <w:highlight w:val="none"/>
          <w:lang w:eastAsia="zh-CN"/>
        </w:rPr>
        <w:t>；</w:t>
      </w:r>
    </w:p>
    <w:p w14:paraId="4C8E97E4">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eastAsia="宋体"/>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sz w:val="24"/>
        </w:rPr>
        <w:t>谈判供应商须提供本项目招标公告发布日期之后通过“信用中国”网站(www.creditchina.gov.cn)、中国政府采购网(www.ccgp.gov.cn)查询其上述信用记录的信用信息查询结果网页打印件或截图(均须注明网址)</w:t>
      </w:r>
      <w:r>
        <w:rPr>
          <w:rFonts w:hint="eastAsia" w:ascii="宋体" w:hAnsi="宋体" w:cs="宋体"/>
          <w:sz w:val="24"/>
          <w:lang w:eastAsia="zh-CN"/>
        </w:rPr>
        <w:t>；</w:t>
      </w:r>
    </w:p>
    <w:p w14:paraId="7A9F6EB2">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电力工程施工总承包三级及以上资质、国家能源局颁发的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承装（修、试）电力设施</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四级及以上许可证的复印件；</w:t>
      </w:r>
    </w:p>
    <w:p w14:paraId="5FD91703">
      <w:pPr>
        <w:keepNext w:val="0"/>
        <w:keepLines w:val="0"/>
        <w:pageBreakBefore w:val="0"/>
        <w:widowControl w:val="0"/>
        <w:kinsoku/>
        <w:wordWrap/>
        <w:overflowPunct/>
        <w:topLinePunct w:val="0"/>
        <w:bidi w:val="0"/>
        <w:snapToGrid/>
        <w:spacing w:line="240" w:lineRule="auto"/>
        <w:ind w:firstLine="360" w:firstLineChars="150"/>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对面积超过100000m2以上的项目进行过建筑电气消防安全检测，提供相关的合同复印件。</w:t>
      </w:r>
    </w:p>
    <w:p w14:paraId="5C9F3610">
      <w:pPr>
        <w:pStyle w:val="2"/>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14:paraId="138B25D8">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bookmarkEnd w:id="85"/>
    <w:bookmarkEnd w:id="86"/>
    <w:bookmarkEnd w:id="87"/>
    <w:bookmarkEnd w:id="88"/>
    <w:bookmarkEnd w:id="89"/>
    <w:bookmarkEnd w:id="90"/>
    <w:bookmarkEnd w:id="91"/>
    <w:p w14:paraId="001BAF12">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2" w:name="_Toc15327"/>
      <w:bookmarkStart w:id="93" w:name="_Toc30609"/>
      <w:bookmarkStart w:id="94" w:name="_Toc13141"/>
      <w:bookmarkStart w:id="95"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2"/>
      <w:bookmarkEnd w:id="93"/>
      <w:bookmarkEnd w:id="94"/>
      <w:bookmarkEnd w:id="95"/>
    </w:p>
    <w:p w14:paraId="60C8C1CE">
      <w:pPr>
        <w:spacing w:line="440" w:lineRule="exact"/>
        <w:rPr>
          <w:rFonts w:hint="eastAsia" w:ascii="宋体" w:hAnsi="宋体" w:eastAsia="宋体" w:cs="宋体"/>
          <w:b/>
          <w:color w:val="auto"/>
          <w:sz w:val="28"/>
          <w:szCs w:val="28"/>
          <w:highlight w:val="none"/>
        </w:rPr>
      </w:pPr>
    </w:p>
    <w:p w14:paraId="2AC0D1DA">
      <w:pPr>
        <w:spacing w:line="440" w:lineRule="exact"/>
        <w:rPr>
          <w:rFonts w:hint="eastAsia" w:ascii="宋体" w:hAnsi="宋体" w:eastAsia="宋体" w:cs="宋体"/>
          <w:b/>
          <w:color w:val="auto"/>
          <w:sz w:val="28"/>
          <w:szCs w:val="28"/>
          <w:highlight w:val="none"/>
        </w:rPr>
      </w:pPr>
    </w:p>
    <w:p w14:paraId="0379D96A">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06A30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98B9113">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138190D">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2768A2">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ED87477">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552047A">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F414C03">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7ADB1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554CE25">
      <w:pPr>
        <w:spacing w:line="360" w:lineRule="auto"/>
        <w:rPr>
          <w:rFonts w:hint="eastAsia" w:ascii="宋体" w:hAnsi="宋体" w:eastAsia="宋体" w:cs="宋体"/>
          <w:b/>
          <w:color w:val="auto"/>
          <w:sz w:val="24"/>
          <w:szCs w:val="24"/>
          <w:highlight w:val="none"/>
        </w:rPr>
      </w:pPr>
    </w:p>
    <w:p w14:paraId="5EC57941">
      <w:pPr>
        <w:pStyle w:val="22"/>
        <w:spacing w:line="360" w:lineRule="auto"/>
        <w:ind w:right="560" w:firstLine="560"/>
        <w:jc w:val="center"/>
        <w:outlineLvl w:val="9"/>
        <w:rPr>
          <w:rFonts w:hint="eastAsia" w:ascii="宋体" w:hAnsi="宋体" w:eastAsia="宋体" w:cs="宋体"/>
          <w:color w:val="auto"/>
          <w:sz w:val="24"/>
          <w:szCs w:val="24"/>
          <w:highlight w:val="none"/>
        </w:rPr>
      </w:pPr>
    </w:p>
    <w:p w14:paraId="05D27434">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56369454">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4E04A8">
      <w:pPr>
        <w:spacing w:line="440" w:lineRule="exact"/>
        <w:outlineLvl w:val="9"/>
        <w:rPr>
          <w:rFonts w:hint="eastAsia" w:ascii="宋体" w:hAnsi="宋体" w:eastAsia="宋体" w:cs="宋体"/>
          <w:b/>
          <w:color w:val="auto"/>
          <w:sz w:val="28"/>
          <w:szCs w:val="28"/>
          <w:highlight w:val="none"/>
        </w:rPr>
      </w:pPr>
    </w:p>
    <w:p w14:paraId="2C785680">
      <w:pPr>
        <w:spacing w:line="440" w:lineRule="exact"/>
        <w:outlineLvl w:val="9"/>
        <w:rPr>
          <w:rFonts w:hint="eastAsia" w:ascii="宋体" w:hAnsi="宋体" w:eastAsia="宋体" w:cs="宋体"/>
          <w:b/>
          <w:color w:val="auto"/>
          <w:sz w:val="28"/>
          <w:szCs w:val="28"/>
          <w:highlight w:val="none"/>
        </w:rPr>
      </w:pPr>
    </w:p>
    <w:p w14:paraId="3B52106E">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5A190490">
      <w:pPr>
        <w:spacing w:line="440" w:lineRule="exact"/>
        <w:rPr>
          <w:rFonts w:hint="eastAsia" w:ascii="宋体" w:hAnsi="宋体" w:eastAsia="宋体" w:cs="宋体"/>
          <w:b/>
          <w:color w:val="auto"/>
          <w:sz w:val="28"/>
          <w:szCs w:val="28"/>
          <w:highlight w:val="none"/>
          <w:lang w:eastAsia="zh-CN"/>
        </w:rPr>
      </w:pPr>
    </w:p>
    <w:p w14:paraId="5E77C0AA">
      <w:pPr>
        <w:spacing w:line="440" w:lineRule="exact"/>
        <w:rPr>
          <w:rFonts w:hint="eastAsia" w:ascii="宋体" w:hAnsi="宋体" w:eastAsia="宋体" w:cs="宋体"/>
          <w:b/>
          <w:color w:val="auto"/>
          <w:sz w:val="28"/>
          <w:szCs w:val="28"/>
          <w:highlight w:val="none"/>
        </w:rPr>
      </w:pPr>
    </w:p>
    <w:p w14:paraId="529A0365">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BD5F828">
      <w:pPr>
        <w:spacing w:line="440" w:lineRule="exact"/>
        <w:rPr>
          <w:color w:val="auto"/>
          <w:highlight w:val="none"/>
        </w:rPr>
      </w:pPr>
    </w:p>
    <w:p w14:paraId="4EA2825B">
      <w:pPr>
        <w:pStyle w:val="2"/>
        <w:rPr>
          <w:color w:val="auto"/>
          <w:highlight w:val="none"/>
        </w:rPr>
      </w:pPr>
    </w:p>
    <w:p w14:paraId="5BF05B30">
      <w:pPr>
        <w:pStyle w:val="2"/>
        <w:rPr>
          <w:color w:val="auto"/>
          <w:highlight w:val="none"/>
        </w:rPr>
      </w:pPr>
    </w:p>
    <w:p w14:paraId="11910491">
      <w:pPr>
        <w:pStyle w:val="2"/>
        <w:rPr>
          <w:color w:val="auto"/>
          <w:highlight w:val="none"/>
        </w:rPr>
      </w:pPr>
    </w:p>
    <w:p w14:paraId="30DEEC8F">
      <w:pPr>
        <w:pStyle w:val="2"/>
        <w:rPr>
          <w:color w:val="auto"/>
          <w:highlight w:val="none"/>
        </w:rPr>
      </w:pPr>
    </w:p>
    <w:p w14:paraId="2F58C19D">
      <w:pPr>
        <w:pStyle w:val="2"/>
        <w:rPr>
          <w:color w:val="auto"/>
          <w:highlight w:val="none"/>
        </w:rPr>
      </w:pPr>
    </w:p>
    <w:p w14:paraId="24BA7FDA">
      <w:pPr>
        <w:pStyle w:val="2"/>
        <w:rPr>
          <w:color w:val="auto"/>
          <w:highlight w:val="none"/>
        </w:rPr>
      </w:pPr>
    </w:p>
    <w:p w14:paraId="1B8B18D7">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C350F5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222DC10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75D7E68F">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08A12D83">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5A510ADE">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0AD5CD0D">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0517C3D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E626A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B195AC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CE53FD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7D162B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1F68E4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E30734C">
      <w:pPr>
        <w:pStyle w:val="2"/>
        <w:rPr>
          <w:rFonts w:hint="default" w:asciiTheme="minorEastAsia" w:hAnsiTheme="minorEastAsia" w:eastAsiaTheme="minorEastAsia" w:cstheme="minorEastAsia"/>
          <w:color w:val="FF0000"/>
          <w:sz w:val="24"/>
          <w:highlight w:val="none"/>
          <w:lang w:val="en-US" w:eastAsia="zh-CN"/>
        </w:rPr>
      </w:pPr>
    </w:p>
    <w:p w14:paraId="1DFACF7D">
      <w:pPr>
        <w:pStyle w:val="2"/>
        <w:rPr>
          <w:rFonts w:hint="default" w:asciiTheme="minorEastAsia" w:hAnsiTheme="minorEastAsia" w:eastAsiaTheme="minorEastAsia" w:cstheme="minorEastAsia"/>
          <w:color w:val="FF0000"/>
          <w:sz w:val="24"/>
          <w:highlight w:val="none"/>
          <w:lang w:val="en-US" w:eastAsia="zh-CN"/>
        </w:rPr>
      </w:pPr>
    </w:p>
    <w:p w14:paraId="0CA00235">
      <w:pPr>
        <w:pStyle w:val="2"/>
        <w:rPr>
          <w:rFonts w:hint="default" w:asciiTheme="minorEastAsia" w:hAnsiTheme="minorEastAsia" w:eastAsiaTheme="minorEastAsia" w:cstheme="minorEastAsia"/>
          <w:color w:val="FF0000"/>
          <w:sz w:val="24"/>
          <w:highlight w:val="none"/>
          <w:lang w:val="en-US" w:eastAsia="zh-CN"/>
        </w:rPr>
      </w:pPr>
    </w:p>
    <w:p w14:paraId="36B58AE3">
      <w:pPr>
        <w:pStyle w:val="2"/>
        <w:rPr>
          <w:rFonts w:hint="default" w:asciiTheme="minorEastAsia" w:hAnsiTheme="minorEastAsia" w:eastAsiaTheme="minorEastAsia" w:cstheme="minorEastAsia"/>
          <w:color w:val="FF0000"/>
          <w:sz w:val="24"/>
          <w:highlight w:val="none"/>
          <w:lang w:val="en-US" w:eastAsia="zh-CN"/>
        </w:rPr>
      </w:pPr>
    </w:p>
    <w:p w14:paraId="6A34C5B4">
      <w:pPr>
        <w:pStyle w:val="2"/>
        <w:rPr>
          <w:rFonts w:hint="default" w:asciiTheme="minorEastAsia" w:hAnsiTheme="minorEastAsia" w:eastAsiaTheme="minorEastAsia" w:cstheme="minorEastAsia"/>
          <w:color w:val="FF0000"/>
          <w:sz w:val="24"/>
          <w:highlight w:val="none"/>
          <w:lang w:val="en-US" w:eastAsia="zh-CN"/>
        </w:rPr>
      </w:pPr>
    </w:p>
    <w:p w14:paraId="44F9F8C6">
      <w:pPr>
        <w:pStyle w:val="2"/>
        <w:rPr>
          <w:rFonts w:hint="default" w:asciiTheme="minorEastAsia" w:hAnsiTheme="minorEastAsia" w:eastAsiaTheme="minorEastAsia" w:cstheme="minorEastAsia"/>
          <w:color w:val="FF0000"/>
          <w:sz w:val="24"/>
          <w:highlight w:val="none"/>
          <w:lang w:val="en-US" w:eastAsia="zh-CN"/>
        </w:rPr>
      </w:pPr>
    </w:p>
    <w:p w14:paraId="1A4E30BF">
      <w:pPr>
        <w:pStyle w:val="2"/>
        <w:rPr>
          <w:rFonts w:hint="default" w:asciiTheme="minorEastAsia" w:hAnsiTheme="minorEastAsia" w:eastAsiaTheme="minorEastAsia" w:cstheme="minorEastAsia"/>
          <w:color w:val="FF0000"/>
          <w:sz w:val="24"/>
          <w:highlight w:val="none"/>
          <w:lang w:val="en-US" w:eastAsia="zh-CN"/>
        </w:rPr>
      </w:pPr>
    </w:p>
    <w:p w14:paraId="05D9C688">
      <w:pPr>
        <w:pStyle w:val="2"/>
        <w:rPr>
          <w:rFonts w:hint="default" w:asciiTheme="minorEastAsia" w:hAnsiTheme="minorEastAsia" w:eastAsiaTheme="minorEastAsia" w:cstheme="minorEastAsia"/>
          <w:color w:val="FF0000"/>
          <w:sz w:val="24"/>
          <w:highlight w:val="none"/>
          <w:lang w:val="en-US" w:eastAsia="zh-CN"/>
        </w:rPr>
      </w:pPr>
    </w:p>
    <w:p w14:paraId="6B31A5DA">
      <w:pPr>
        <w:pStyle w:val="2"/>
        <w:rPr>
          <w:rFonts w:hint="default" w:asciiTheme="minorEastAsia" w:hAnsiTheme="minorEastAsia" w:eastAsiaTheme="minorEastAsia" w:cstheme="minorEastAsia"/>
          <w:color w:val="FF0000"/>
          <w:sz w:val="24"/>
          <w:highlight w:val="none"/>
          <w:lang w:val="en-US" w:eastAsia="zh-CN"/>
        </w:rPr>
      </w:pPr>
    </w:p>
    <w:p w14:paraId="7532CB7B">
      <w:pPr>
        <w:pStyle w:val="2"/>
        <w:rPr>
          <w:rFonts w:hint="default" w:asciiTheme="minorEastAsia" w:hAnsiTheme="minorEastAsia" w:eastAsiaTheme="minorEastAsia" w:cstheme="minorEastAsia"/>
          <w:color w:val="FF0000"/>
          <w:sz w:val="24"/>
          <w:highlight w:val="none"/>
          <w:lang w:val="en-US" w:eastAsia="zh-CN"/>
        </w:rPr>
      </w:pPr>
    </w:p>
    <w:p w14:paraId="5471826E">
      <w:pPr>
        <w:pStyle w:val="2"/>
        <w:rPr>
          <w:rFonts w:hint="default" w:asciiTheme="minorEastAsia" w:hAnsiTheme="minorEastAsia" w:eastAsiaTheme="minorEastAsia" w:cstheme="minorEastAsia"/>
          <w:color w:val="FF0000"/>
          <w:sz w:val="24"/>
          <w:highlight w:val="none"/>
          <w:lang w:val="en-US" w:eastAsia="zh-CN"/>
        </w:rPr>
      </w:pPr>
    </w:p>
    <w:p w14:paraId="55B70D09">
      <w:pPr>
        <w:pStyle w:val="2"/>
        <w:rPr>
          <w:rFonts w:hint="default" w:asciiTheme="minorEastAsia" w:hAnsiTheme="minorEastAsia" w:eastAsiaTheme="minorEastAsia" w:cstheme="minorEastAsia"/>
          <w:color w:val="FF0000"/>
          <w:sz w:val="24"/>
          <w:highlight w:val="none"/>
          <w:lang w:val="en-US" w:eastAsia="zh-CN"/>
        </w:rPr>
      </w:pPr>
    </w:p>
    <w:p w14:paraId="3BFDB997">
      <w:pPr>
        <w:pStyle w:val="2"/>
        <w:rPr>
          <w:rFonts w:hint="default" w:asciiTheme="minorEastAsia" w:hAnsiTheme="minorEastAsia" w:eastAsiaTheme="minorEastAsia" w:cstheme="minorEastAsia"/>
          <w:color w:val="FF0000"/>
          <w:sz w:val="24"/>
          <w:highlight w:val="none"/>
          <w:lang w:val="en-US" w:eastAsia="zh-CN"/>
        </w:rPr>
      </w:pPr>
    </w:p>
    <w:p w14:paraId="28DD6AB3">
      <w:pPr>
        <w:pStyle w:val="2"/>
        <w:rPr>
          <w:rFonts w:hint="default" w:asciiTheme="minorEastAsia" w:hAnsiTheme="minorEastAsia" w:eastAsiaTheme="minorEastAsia" w:cstheme="minorEastAsia"/>
          <w:color w:val="FF0000"/>
          <w:sz w:val="24"/>
          <w:highlight w:val="none"/>
          <w:lang w:val="en-US" w:eastAsia="zh-CN"/>
        </w:rPr>
      </w:pPr>
    </w:p>
    <w:p w14:paraId="127C0AA6">
      <w:pPr>
        <w:pStyle w:val="2"/>
        <w:rPr>
          <w:rFonts w:hint="default" w:asciiTheme="minorEastAsia" w:hAnsiTheme="minorEastAsia" w:eastAsiaTheme="minorEastAsia" w:cstheme="minorEastAsia"/>
          <w:color w:val="FF0000"/>
          <w:sz w:val="24"/>
          <w:highlight w:val="none"/>
          <w:lang w:val="en-US" w:eastAsia="zh-CN"/>
        </w:rPr>
      </w:pPr>
    </w:p>
    <w:p w14:paraId="4ABC011F">
      <w:pPr>
        <w:pStyle w:val="2"/>
        <w:rPr>
          <w:rFonts w:hint="default" w:asciiTheme="minorEastAsia" w:hAnsiTheme="minorEastAsia" w:eastAsiaTheme="minorEastAsia" w:cstheme="minorEastAsia"/>
          <w:color w:val="FF0000"/>
          <w:sz w:val="24"/>
          <w:highlight w:val="none"/>
          <w:lang w:val="en-US" w:eastAsia="zh-CN"/>
        </w:rPr>
      </w:pPr>
    </w:p>
    <w:p w14:paraId="304C0F8C">
      <w:pPr>
        <w:pStyle w:val="2"/>
        <w:rPr>
          <w:rFonts w:hint="default" w:asciiTheme="minorEastAsia" w:hAnsiTheme="minorEastAsia" w:eastAsiaTheme="minorEastAsia" w:cstheme="minorEastAsia"/>
          <w:color w:val="FF0000"/>
          <w:sz w:val="24"/>
          <w:highlight w:val="none"/>
          <w:lang w:val="en-US" w:eastAsia="zh-CN"/>
        </w:rPr>
      </w:pPr>
    </w:p>
    <w:p w14:paraId="24491A39">
      <w:pPr>
        <w:pStyle w:val="2"/>
        <w:rPr>
          <w:rFonts w:hint="default" w:asciiTheme="minorEastAsia" w:hAnsiTheme="minorEastAsia" w:eastAsiaTheme="minorEastAsia" w:cstheme="minorEastAsia"/>
          <w:color w:val="FF0000"/>
          <w:sz w:val="24"/>
          <w:highlight w:val="none"/>
          <w:lang w:val="en-US" w:eastAsia="zh-CN"/>
        </w:rPr>
      </w:pPr>
    </w:p>
    <w:p w14:paraId="0619B1D6">
      <w:pPr>
        <w:pStyle w:val="2"/>
        <w:rPr>
          <w:rFonts w:hint="default" w:asciiTheme="minorEastAsia" w:hAnsiTheme="minorEastAsia" w:eastAsiaTheme="minorEastAsia" w:cstheme="minorEastAsia"/>
          <w:color w:val="FF0000"/>
          <w:sz w:val="24"/>
          <w:highlight w:val="none"/>
          <w:lang w:val="en-US" w:eastAsia="zh-CN"/>
        </w:rPr>
      </w:pPr>
    </w:p>
    <w:p w14:paraId="3B991459">
      <w:pPr>
        <w:pStyle w:val="2"/>
        <w:rPr>
          <w:rFonts w:hint="default" w:asciiTheme="minorEastAsia" w:hAnsiTheme="minorEastAsia" w:eastAsiaTheme="minorEastAsia" w:cstheme="minorEastAsia"/>
          <w:color w:val="FF0000"/>
          <w:sz w:val="24"/>
          <w:highlight w:val="none"/>
          <w:lang w:val="en-US" w:eastAsia="zh-CN"/>
        </w:rPr>
      </w:pPr>
    </w:p>
    <w:p w14:paraId="571F8D1F">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5E885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3AD9FCA">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19D9C6A3">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5E56">
    <w:pPr>
      <w:pStyle w:val="9"/>
      <w:framePr w:wrap="around" w:vAnchor="text" w:hAnchor="margin" w:xAlign="right" w:y="1"/>
      <w:rPr>
        <w:rStyle w:val="20"/>
      </w:rPr>
    </w:pPr>
    <w:r>
      <w:fldChar w:fldCharType="begin"/>
    </w:r>
    <w:r>
      <w:rPr>
        <w:rStyle w:val="20"/>
      </w:rPr>
      <w:instrText xml:space="preserve">PAGE  </w:instrText>
    </w:r>
    <w:r>
      <w:fldChar w:fldCharType="end"/>
    </w:r>
  </w:p>
  <w:p w14:paraId="374089E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52C226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0D6B423">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D8F2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1D8F20">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05FB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105FB8">
                          <w:pPr>
                            <w:pStyle w:val="9"/>
                          </w:pPr>
                        </w:p>
                      </w:txbxContent>
                    </v:textbox>
                  </v:shape>
                </w:pict>
              </mc:Fallback>
            </mc:AlternateContent>
          </w:r>
        </w:p>
      </w:tc>
    </w:tr>
  </w:tbl>
  <w:p w14:paraId="4B9BA538">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8D1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AB2D">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89AB2D">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F209">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59835B2E"/>
    <w:rsid w:val="00942756"/>
    <w:rsid w:val="034E4A21"/>
    <w:rsid w:val="053F11B2"/>
    <w:rsid w:val="0BAE4186"/>
    <w:rsid w:val="0E8D13D6"/>
    <w:rsid w:val="0F44355D"/>
    <w:rsid w:val="10615A49"/>
    <w:rsid w:val="115376E2"/>
    <w:rsid w:val="11F33019"/>
    <w:rsid w:val="16F7028D"/>
    <w:rsid w:val="173A664E"/>
    <w:rsid w:val="17881D03"/>
    <w:rsid w:val="189235AC"/>
    <w:rsid w:val="19162DBB"/>
    <w:rsid w:val="1A532D6C"/>
    <w:rsid w:val="1C4B3D8B"/>
    <w:rsid w:val="1D974856"/>
    <w:rsid w:val="1DD464FF"/>
    <w:rsid w:val="299802D6"/>
    <w:rsid w:val="29AD768A"/>
    <w:rsid w:val="2CEB06B4"/>
    <w:rsid w:val="2DC329B0"/>
    <w:rsid w:val="30550BE7"/>
    <w:rsid w:val="30EC4E63"/>
    <w:rsid w:val="32FB2F01"/>
    <w:rsid w:val="33C33694"/>
    <w:rsid w:val="3643461A"/>
    <w:rsid w:val="38641F41"/>
    <w:rsid w:val="395469C6"/>
    <w:rsid w:val="396B2D85"/>
    <w:rsid w:val="3B1925BB"/>
    <w:rsid w:val="3B2C5F1B"/>
    <w:rsid w:val="3B6C1D7D"/>
    <w:rsid w:val="3E002010"/>
    <w:rsid w:val="3F2E1764"/>
    <w:rsid w:val="451F1798"/>
    <w:rsid w:val="46F70250"/>
    <w:rsid w:val="4C1307C4"/>
    <w:rsid w:val="4C65575F"/>
    <w:rsid w:val="4C9808FB"/>
    <w:rsid w:val="4E487C6D"/>
    <w:rsid w:val="4F123E7A"/>
    <w:rsid w:val="55794C66"/>
    <w:rsid w:val="55CD64D1"/>
    <w:rsid w:val="55D751F9"/>
    <w:rsid w:val="56F67D48"/>
    <w:rsid w:val="58645FBE"/>
    <w:rsid w:val="59835B2E"/>
    <w:rsid w:val="5AE34496"/>
    <w:rsid w:val="5D654BBF"/>
    <w:rsid w:val="5D8A39D6"/>
    <w:rsid w:val="607C050A"/>
    <w:rsid w:val="677F3E55"/>
    <w:rsid w:val="68735896"/>
    <w:rsid w:val="69690D6B"/>
    <w:rsid w:val="6B7D3D34"/>
    <w:rsid w:val="6D3F5C0C"/>
    <w:rsid w:val="6E9A7D81"/>
    <w:rsid w:val="718F5027"/>
    <w:rsid w:val="726C6FA6"/>
    <w:rsid w:val="731E2BC7"/>
    <w:rsid w:val="736C78EA"/>
    <w:rsid w:val="73D2014D"/>
    <w:rsid w:val="780B365B"/>
    <w:rsid w:val="787F0A54"/>
    <w:rsid w:val="7A8A4362"/>
    <w:rsid w:val="7AFE4400"/>
    <w:rsid w:val="7C5E5F96"/>
    <w:rsid w:val="7CA02D78"/>
    <w:rsid w:val="7EEA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rPr>
      <w:rFonts w:ascii="Calibri" w:hAnsi="Calibri" w:cs="Times New Roman"/>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6"/>
    <w:next w:val="6"/>
    <w:autoRedefine/>
    <w:qFormat/>
    <w:uiPriority w:val="0"/>
    <w:rPr>
      <w:rFonts w:ascii="宋体" w:hAnsi="Courier New"/>
      <w:szCs w:val="20"/>
    </w:rPr>
  </w:style>
  <w:style w:type="paragraph" w:styleId="16">
    <w:name w:val="Body Text First Indent"/>
    <w:basedOn w:val="7"/>
    <w:autoRedefine/>
    <w:unhideWhenUsed/>
    <w:qFormat/>
    <w:uiPriority w:val="0"/>
    <w:pPr>
      <w:ind w:firstLine="420" w:firstLineChars="100"/>
    </w:pPr>
  </w:style>
  <w:style w:type="character" w:styleId="19">
    <w:name w:val="Strong"/>
    <w:basedOn w:val="18"/>
    <w:autoRedefine/>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ptdl"/>
    <w:basedOn w:val="1"/>
    <w:autoRedefine/>
    <w:qFormat/>
    <w:uiPriority w:val="0"/>
    <w:pPr>
      <w:spacing w:after="156"/>
      <w:ind w:firstLine="480"/>
    </w:pPr>
    <w:rPr>
      <w:sz w:val="24"/>
      <w:szCs w:val="20"/>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character" w:customStyle="1" w:styleId="25">
    <w:name w:val="font112"/>
    <w:basedOn w:val="18"/>
    <w:autoRedefine/>
    <w:qFormat/>
    <w:uiPriority w:val="0"/>
    <w:rPr>
      <w:rFonts w:hint="eastAsia" w:ascii="宋体" w:hAnsi="宋体" w:eastAsia="宋体" w:cs="宋体"/>
      <w:b/>
      <w:bCs/>
      <w:color w:val="000000"/>
      <w:sz w:val="36"/>
      <w:szCs w:val="36"/>
      <w:u w:val="none"/>
    </w:rPr>
  </w:style>
  <w:style w:type="character" w:customStyle="1" w:styleId="26">
    <w:name w:val="font121"/>
    <w:basedOn w:val="18"/>
    <w:autoRedefine/>
    <w:qFormat/>
    <w:uiPriority w:val="0"/>
    <w:rPr>
      <w:rFonts w:hint="default" w:ascii="Times New Roman" w:hAnsi="Times New Roman" w:cs="Times New Roman"/>
      <w:color w:val="000000"/>
      <w:sz w:val="22"/>
      <w:szCs w:val="22"/>
      <w:u w:val="none"/>
    </w:rPr>
  </w:style>
  <w:style w:type="character" w:customStyle="1" w:styleId="27">
    <w:name w:val="font131"/>
    <w:basedOn w:val="18"/>
    <w:autoRedefine/>
    <w:qFormat/>
    <w:uiPriority w:val="0"/>
    <w:rPr>
      <w:rFonts w:hint="default" w:ascii="Times New Roman" w:hAnsi="Times New Roman" w:cs="Times New Roman"/>
      <w:color w:val="000000"/>
      <w:sz w:val="22"/>
      <w:szCs w:val="22"/>
      <w:u w:val="none"/>
      <w:vertAlign w:val="superscript"/>
    </w:rPr>
  </w:style>
  <w:style w:type="character" w:customStyle="1" w:styleId="28">
    <w:name w:val="font21"/>
    <w:basedOn w:val="18"/>
    <w:autoRedefine/>
    <w:qFormat/>
    <w:uiPriority w:val="0"/>
    <w:rPr>
      <w:rFonts w:hint="eastAsia" w:ascii="宋体" w:hAnsi="宋体" w:eastAsia="宋体" w:cs="宋体"/>
      <w:color w:val="000000"/>
      <w:sz w:val="22"/>
      <w:szCs w:val="22"/>
      <w:u w:val="none"/>
    </w:rPr>
  </w:style>
  <w:style w:type="character" w:customStyle="1" w:styleId="29">
    <w:name w:val="font11"/>
    <w:basedOn w:val="18"/>
    <w:autoRedefine/>
    <w:qFormat/>
    <w:uiPriority w:val="0"/>
    <w:rPr>
      <w:rFonts w:hint="eastAsia" w:ascii="宋体" w:hAnsi="宋体" w:eastAsia="宋体" w:cs="宋体"/>
      <w:color w:val="000000"/>
      <w:sz w:val="20"/>
      <w:szCs w:val="20"/>
      <w:u w:val="none"/>
    </w:rPr>
  </w:style>
  <w:style w:type="character" w:customStyle="1" w:styleId="30">
    <w:name w:val="font91"/>
    <w:basedOn w:val="18"/>
    <w:autoRedefine/>
    <w:qFormat/>
    <w:uiPriority w:val="0"/>
    <w:rPr>
      <w:rFonts w:hint="default" w:ascii="Times New Roman" w:hAnsi="Times New Roman" w:cs="Times New Roman"/>
      <w:color w:val="000000"/>
      <w:sz w:val="20"/>
      <w:szCs w:val="20"/>
      <w:u w:val="none"/>
    </w:rPr>
  </w:style>
  <w:style w:type="character" w:customStyle="1" w:styleId="31">
    <w:name w:val="font71"/>
    <w:basedOn w:val="18"/>
    <w:autoRedefine/>
    <w:qFormat/>
    <w:uiPriority w:val="0"/>
    <w:rPr>
      <w:rFonts w:hint="eastAsia" w:ascii="宋体" w:hAnsi="宋体" w:eastAsia="宋体" w:cs="宋体"/>
      <w:b/>
      <w:bCs/>
      <w:color w:val="000000"/>
      <w:sz w:val="44"/>
      <w:szCs w:val="44"/>
      <w:u w:val="none"/>
    </w:rPr>
  </w:style>
  <w:style w:type="character" w:customStyle="1" w:styleId="32">
    <w:name w:val="font81"/>
    <w:basedOn w:val="18"/>
    <w:autoRedefine/>
    <w:qFormat/>
    <w:uiPriority w:val="0"/>
    <w:rPr>
      <w:rFonts w:hint="default" w:ascii="Times New Roman" w:hAnsi="Times New Roman" w:cs="Times New Roman"/>
      <w:color w:val="000000"/>
      <w:sz w:val="22"/>
      <w:szCs w:val="22"/>
      <w:u w:val="none"/>
    </w:rPr>
  </w:style>
  <w:style w:type="character" w:customStyle="1" w:styleId="33">
    <w:name w:val="font4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3278</Words>
  <Characters>3662</Characters>
  <Lines>0</Lines>
  <Paragraphs>0</Paragraphs>
  <TotalTime>3</TotalTime>
  <ScaleCrop>false</ScaleCrop>
  <LinksUpToDate>false</LinksUpToDate>
  <CharactersWithSpaces>3923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庄毓明</cp:lastModifiedBy>
  <cp:lastPrinted>2021-11-24T07:21:00Z</cp:lastPrinted>
  <dcterms:modified xsi:type="dcterms:W3CDTF">2024-12-05T08:22:01Z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1D74DC218C9B4B4FA60CAE48B8569FF5</vt:lpwstr>
  </property>
</Properties>
</file>