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1B40E9">
      <w:pPr>
        <w:jc w:val="center"/>
        <w:rPr>
          <w:rFonts w:hint="eastAsia" w:ascii="方正公文小标宋" w:hAnsi="方正公文小标宋" w:eastAsia="方正公文小标宋" w:cs="方正公文小标宋"/>
          <w:sz w:val="36"/>
          <w:szCs w:val="36"/>
        </w:rPr>
      </w:pPr>
      <w:r>
        <w:rPr>
          <w:rFonts w:hint="eastAsia" w:ascii="方正公文小标宋" w:hAnsi="方正公文小标宋" w:eastAsia="方正公文小标宋" w:cs="方正公文小标宋"/>
          <w:sz w:val="36"/>
          <w:szCs w:val="36"/>
        </w:rPr>
        <w:t>国家艺术基金（一般项目）2026年度艺术人才培训</w:t>
      </w:r>
    </w:p>
    <w:p w14:paraId="06416E2E">
      <w:pPr>
        <w:jc w:val="center"/>
        <w:rPr>
          <w:rFonts w:hint="eastAsia" w:ascii="方正公文小标宋" w:hAnsi="方正公文小标宋" w:eastAsia="方正公文小标宋" w:cs="方正公文小标宋"/>
          <w:sz w:val="36"/>
          <w:szCs w:val="36"/>
        </w:rPr>
      </w:pPr>
      <w:r>
        <w:rPr>
          <w:rFonts w:hint="eastAsia" w:ascii="方正公文小标宋" w:hAnsi="方正公文小标宋" w:eastAsia="方正公文小标宋" w:cs="方正公文小标宋"/>
          <w:sz w:val="36"/>
          <w:szCs w:val="36"/>
        </w:rPr>
        <w:t>资助项目申报指南</w:t>
      </w:r>
    </w:p>
    <w:p w14:paraId="614E35A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国家艺术基金面向社会受理艺术人才培训资助项目的申报，组织专家评审，确定资助项目和资助额度，并实施监管。</w:t>
      </w:r>
    </w:p>
    <w:p w14:paraId="56F079D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根据《国家艺术基金章程》《中央专项彩票公益金支持国家艺术基金项目资金管理办法》，结合《国家艺术基金项目资助管理办法》《国家艺术基金资助项目经费管理办法》等文件，制定本指南。</w:t>
      </w:r>
    </w:p>
    <w:p w14:paraId="2E8DF5A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一、资助要求</w:t>
      </w:r>
    </w:p>
    <w:p w14:paraId="75C133E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资助坚持以习近平新时代中国特色社会主义思想为指导，全面贯彻落实党的二十大和二十届二中、三中全会精神，深入学习贯彻习近平文化思想，坚持为人民服务、为社会主义服务，坚持百花齐放、百家争鸣，坚持创造性转化、创新性发展，坚持以人民为中心的工作导向，坚持出成果和出人才相结合、抓作品和抓环境相贯通，尊重人才成长规律，以建设规模宏大、结构合理、锐意创新的高水平文化人才队伍为目标的培训项目。</w:t>
      </w:r>
    </w:p>
    <w:p w14:paraId="4A2B93F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重点资助以造就有影响的各领域艺术领军人物为目标的艺术人才培训活动；关系到舞台艺术和美术事业传承和长远发展的特殊、急需、紧缺的艺术人才培训活动；满足基层艺术事业发展需要的优秀实用型艺术人才培训活动；培养有利于戏曲艺术传承发展的优秀艺术人才培训活动。</w:t>
      </w:r>
    </w:p>
    <w:p w14:paraId="0F8B0DB9">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二、资助范围</w:t>
      </w:r>
    </w:p>
    <w:p w14:paraId="1E673A0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资助舞台艺术、绘画、雕塑、书法、篆刻、摄影和工艺美术等领域创作人才、经营管理人才和文艺评论人才培训。不资助古代艺术品（文物）保护利用人才培训、非物质文化遗产传承人培训和以城乡空间规划设计为主要内容的人才培训项目。培训分为短期培训和中长期培训。</w:t>
      </w:r>
    </w:p>
    <w:p w14:paraId="70502AC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（一）项目设计要遵循高层次、小批量原则，体现灵活性、多样化特点，鼓励艺术经验的直接传授、理论与实践的结合，以及围绕具体创作任务出作品、出人才。</w:t>
      </w:r>
    </w:p>
    <w:p w14:paraId="07F99C8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创作人才培训重在艺术实践和经验传授，注重提升专业技能、拓宽艺术视野和培养创新能力；经营管理人才培训重在培养熟悉艺术创作生产规律，了解市场运行机制，能够做好艺术作品宣传推广和市场经营工作的复合型人才；文艺评论人才培训重在培养能够针对创作观念、方法和实践开展评论的人才；“高端艺术人才国外研修计划”重在与国外艺术机构、单位合作开展培训活动，选派、支持优秀艺术人才赴国外艺术团体和经营机构学习实践，提升专业技能，提高推广交流和经营管理能力。</w:t>
      </w:r>
    </w:p>
    <w:p w14:paraId="53AF86B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三、申请额度</w:t>
      </w:r>
    </w:p>
    <w:p w14:paraId="1C100439">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国家艺术基金依据申报项目的培训类别、学员数量、授课时长等因素，同时参考项目申报主体制定的项目预算核定资助资金。</w:t>
      </w:r>
    </w:p>
    <w:p w14:paraId="396943F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四、资助方式</w:t>
      </w:r>
    </w:p>
    <w:p w14:paraId="367590D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国家艺术基金对聘请教师、学员交通食宿、租赁培训场所和开展艺术实践活动等给予资助，承担项目的机构或单位须将资助资金全部用于项目开支，不得向学员收取学费等其他费用，不得与自行举办的其他培训项目拼班、交叉。</w:t>
      </w:r>
    </w:p>
    <w:p w14:paraId="59089D9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（二）对具备实施条件的资助项目，国家艺术基金将先期拨付资助资金总额的50%作为启动经费；项目开班经中期监督合格后，拨付资助资金总额的30%；项目完成并验收合格后，拨付剩余20%的资助资金。</w:t>
      </w:r>
    </w:p>
    <w:p w14:paraId="18D41D7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（三）项目经费支付按照国库集中支付有关制度规定执行。</w:t>
      </w:r>
    </w:p>
    <w:p w14:paraId="0D1E915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承担项目的机构或单位应适度控制培训规模，短期培训原则上参加培训的学员应控制在30名以内，最多不能超过50名；中长期培训原则上参加培训的学员应控制在20名以内，最多不能超过30名。要面向全国择优遴选培训对象，学员确定后应将名单及个人简历报送国家艺术基金管理中心（以下简称“管理中心”）备案。</w:t>
      </w:r>
    </w:p>
    <w:p w14:paraId="3816CAC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承担项目的机构或单位应保证培训时间，短期培训原则上培训时间应不少于2个月，不超过6个月，且集中培训时间应不少于1个月；中长期培训原则上培训时间应不少于1年，且集中培训时间应不少于6个月；“高端艺术人才国外研修计划”安排在国外学习实践时间应不少于2个月。培训可依据具体项目的特点和人才培养要求分批次、分地域进行。</w:t>
      </w:r>
    </w:p>
    <w:p w14:paraId="2DB57D5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五、申报条件</w:t>
      </w:r>
    </w:p>
    <w:p w14:paraId="72CE8D0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（一）本项目的项目申报主体为机构或单位（不含性质为机关法人的单位），其应同时具备以下条件：</w:t>
      </w:r>
    </w:p>
    <w:p w14:paraId="78F767F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1.2022年4月15日前在中华人民共和国内地（大陆）同级行政机关登记、注册的机构或单位，在香港特别行政区、澳门特别行政区依法进行商业登记、公司注册或社团登记注册的机构或单位。</w:t>
      </w:r>
    </w:p>
    <w:p w14:paraId="05A9794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2.具备完善的管理制度，与实施项目相匹配的教学实践资源、师资力量和设施条件，能够提供详实、可行的培训方案。鼓励艺术创作单位与艺术教育科研单位合作开展项目。</w:t>
      </w:r>
    </w:p>
    <w:p w14:paraId="5346586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（二）已获得国家艺术基金立项资助的项目，未能在《国家艺术基金资助项目协议书》规定的实施周期内提交结项验收或终止申请的，其项目主体不能再获得同一项目类型的资助。</w:t>
      </w:r>
    </w:p>
    <w:p w14:paraId="165EB9F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六、申报数量</w:t>
      </w:r>
    </w:p>
    <w:p w14:paraId="0056AD6E">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同一项目申报主体申报艺术人才培训资助项目不超过5项。</w:t>
      </w:r>
    </w:p>
    <w:p w14:paraId="485403FE">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七、申报时间</w:t>
      </w:r>
    </w:p>
    <w:p w14:paraId="4C4773A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本项目从2025年4月15日起开始申报，至6月15日截止申报。管理中心在申报期内受理项目申报，并提供相关咨询服务，逾期不予受理。</w:t>
      </w:r>
    </w:p>
    <w:p w14:paraId="5915845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八、申报程序</w:t>
      </w:r>
    </w:p>
    <w:p w14:paraId="07ADFF2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（一）项目申报主体在规定的申报受理期内，通过国家艺术基金网站 （http://www.cnaf.cn），登录“国家艺术基金资助项目管理系统”，按要求填写《国家艺术基金（一般项目）2026年度艺术人才培训资助项目申报表》，上传申报材料。</w:t>
      </w:r>
    </w:p>
    <w:p w14:paraId="3993DF8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（二）管理中心自申请截止之日起30日内，完成对申报项目的审核。符合相关规定的予以受理；不符合相关规定的，不予受理并通知项目申报主体。</w:t>
      </w:r>
    </w:p>
    <w:p w14:paraId="0B25135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（三）对项目申报主体提交的申报材料，管理中心按规定管理，并根据工作需要使用。</w:t>
      </w:r>
    </w:p>
    <w:p w14:paraId="57CED914">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九、申报材料</w:t>
      </w:r>
    </w:p>
    <w:p w14:paraId="32698EF9">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（一）《国家艺术基金（一般项目）2026年度艺术人才培训资助项目申报表》。</w:t>
      </w:r>
    </w:p>
    <w:p w14:paraId="57287F7E">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（二）内地（大陆）项目申报主体须提供同级行政主管部门颁发的登记、注册证书和统一社会信用代码证书；港澳特区项目申报主体须提供商业登记证书、公司注册证书或社团注册证明书等资质证明文件。</w:t>
      </w:r>
    </w:p>
    <w:p w14:paraId="3F8308F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（三）上一年度财务报表（资产负债表、利润表或收入支出决算表）和本年度1月份社会保险个人权益记录（单位缴费信息）。</w:t>
      </w:r>
    </w:p>
    <w:p w14:paraId="2F700A5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（四）申报项目已经获得或正在申请其他财政性资金、基金支持以及第三方资助的，须提供相应的批准文件或申报材料。</w:t>
      </w:r>
    </w:p>
    <w:p w14:paraId="34C70DA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（五）开展艺术人才培训项目的工作方案、完整课程安排、全部授课教师简介，以及与授课教师签署的协议。</w:t>
      </w:r>
    </w:p>
    <w:p w14:paraId="362AC2A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（六）申报项目涉及国外培训活动的，须提交与国外合作机构的合作协议。</w:t>
      </w:r>
    </w:p>
    <w:p w14:paraId="5E7C4874">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（七）申报材料应于2025年6月15日前通过网络提交，管理中心不接受纸质申报材料。作为附件上传的辅助材料，图片应采用扫描的方式形成，视频应完整清晰，可识别度高。</w:t>
      </w:r>
    </w:p>
    <w:p w14:paraId="63813BE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十、签约实施</w:t>
      </w:r>
    </w:p>
    <w:p w14:paraId="1527681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确定申报项目为立项资助项目后，管理中心将与项目申报主体签订《国家艺术基金资助项目协议书》。《国家艺术基金（一般项目）2026年度艺术人才培训资助项目申报表》作为协议书附件，具有同等约束力。</w:t>
      </w:r>
    </w:p>
    <w:p w14:paraId="7831162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申报项目立项后，项目主体视为同意按照国家艺术基金安排，参加国家艺术基金组织的出版、演出、展览、展播和研讨等宣传推广活动，并将全部项目成果的展览权、放映权、广播权和信息网络传播权等与成果运用相关的著作权以非专有使用许可的方式授予管理中心。</w:t>
      </w:r>
    </w:p>
    <w:p w14:paraId="35BF773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十一、监督验收</w:t>
      </w:r>
    </w:p>
    <w:p w14:paraId="5DA61B4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（一）资助项目应于2027年6月30日前提交完整的成果材料，参加结项验收。</w:t>
      </w:r>
    </w:p>
    <w:p w14:paraId="38CBC9C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（二）管理中心将按照《国家艺术基金资助项目监督管理办法》，对资助项目实施情况进行监督，并组织专家对资助项目进行结项验收。</w:t>
      </w:r>
    </w:p>
    <w:p w14:paraId="19933DC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（三）项目主体应加强对授课内容的管理，录制全部课程的完整视频。</w:t>
      </w:r>
    </w:p>
    <w:p w14:paraId="1775B69E">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（四）项目主体要保证申报项目在申报及后续实施过程中均不侵犯任何第三方的著作权及其他合法权益。如有侵犯，项目主体依法承担全部责任。</w:t>
      </w:r>
    </w:p>
    <w:p w14:paraId="6042FF99">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项目主体违反《国家艺术基金章程》及国家艺术基金其他有关管理规定的，管理中心给予通报批评，并追究责任人相关责任。有下列情形之一的，报国家艺术基金理事会批准后追回已拨资金，并暂停项目主体申报资格，涉嫌违法违纪的移交有关部门处理：</w:t>
      </w:r>
    </w:p>
    <w:p w14:paraId="0CC62F4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1.项目主体在项目实施过程中，侵犯任何第三方的著作权及其他合法权益；</w:t>
      </w:r>
    </w:p>
    <w:p w14:paraId="43F2F8C9">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2.项目实施内容、经费支出、结项成果等与《国家艺术基金资助项目协议书》的约定存在重大差异；</w:t>
      </w:r>
    </w:p>
    <w:p w14:paraId="2AACCBC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3.项目主体存在其他弄虚作假、挪用资助资金、违反《国家艺术基金项目资助管理办法》《国家艺术基金资助项目经费管理办法》等情形；</w:t>
      </w:r>
    </w:p>
    <w:p w14:paraId="6593EDB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4.项目主体有其他严重违法违纪行为。</w:t>
      </w:r>
    </w:p>
    <w:p w14:paraId="74A3BD8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十二、其他</w:t>
      </w:r>
    </w:p>
    <w:p w14:paraId="5C79BE2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（一）资助项目在实施过程中，应在相关场所和材料显著位置标注“彩票公益金资助——中国福利彩票和中国体育彩票”和“国家艺术基金资助”标识。</w:t>
      </w:r>
    </w:p>
    <w:p w14:paraId="4968A324">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（二）国家艺术基金对项目主体在项目申报、实施过程中与第三方产生的纠纷不承担任何责任。</w:t>
      </w:r>
    </w:p>
    <w:p w14:paraId="41CFD21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（三）管理中心对本指南拥有最终解释权。</w:t>
      </w:r>
    </w:p>
    <w:p w14:paraId="6BC39988">
      <w:pPr>
        <w:ind w:firstLine="640" w:firstLineChars="200"/>
        <w:rPr>
          <w:rFonts w:hint="eastAsia" w:ascii="仿宋_GB2312" w:hAnsi="仿宋_GB2312" w:eastAsia="仿宋_GB2312" w:cs="仿宋_GB2312"/>
          <w:sz w:val="32"/>
          <w:szCs w:val="32"/>
        </w:rPr>
      </w:pPr>
      <w:bookmarkStart w:id="0" w:name="_GoBack"/>
      <w:bookmarkEnd w:id="0"/>
      <w:r>
        <w:rPr>
          <w:rFonts w:hint="eastAsia" w:ascii="仿宋_GB2312" w:hAnsi="仿宋_GB2312" w:eastAsia="仿宋_GB2312" w:cs="仿宋_GB2312"/>
          <w:sz w:val="32"/>
          <w:szCs w:val="32"/>
        </w:rPr>
        <w:t>（四）本指南自发布之日起实施。</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公文小标宋">
    <w:panose1 w:val="02000500000000000000"/>
    <w:charset w:val="86"/>
    <w:family w:val="auto"/>
    <w:pitch w:val="default"/>
    <w:sig w:usb0="A00002BF" w:usb1="38CF7CFA" w:usb2="00000016" w:usb3="00000000" w:csb0="00040001" w:csb1="00000000"/>
    <w:embedRegular r:id="rId1" w:fontKey="{42362A46-2FDC-4149-8572-DCAD0ABE933E}"/>
  </w:font>
  <w:font w:name="仿宋_GB2312">
    <w:panose1 w:val="02010609030101010101"/>
    <w:charset w:val="86"/>
    <w:family w:val="auto"/>
    <w:pitch w:val="default"/>
    <w:sig w:usb0="00000001" w:usb1="080E0000" w:usb2="00000000" w:usb3="00000000" w:csb0="00040000" w:csb1="00000000"/>
    <w:embedRegular r:id="rId2" w:fontKey="{A03C1AD2-38A6-4DFB-A66E-C4C86841E535}"/>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0ZmEyYmIxNjAyMzM5ZGY0ZDg0NzcxZjRmOGNlYzkifQ=="/>
  </w:docVars>
  <w:rsids>
    <w:rsidRoot w:val="2364579E"/>
    <w:rsid w:val="2364579E"/>
    <w:rsid w:val="365847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19</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2025-03-25T07:44:00Z</dcterms:created>
  <dc:creator>王旖旎</dc:creator>
  <cp:lastModifiedBy>王旖旎</cp:lastModifiedBy>
  <dcterms:modified xsi:type="dcterms:W3CDTF">2025-03-25T08:05:03Z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FEB2ABB6EA69448CBA859D40E736BB0A_11</vt:lpwstr>
  </property>
</Properties>
</file>