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C0D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center"/>
        <w:textAlignment w:val="auto"/>
        <w:rPr>
          <w:rFonts w:ascii="Arial" w:hAnsi="Arial" w:cs="Arial"/>
          <w:i w:val="0"/>
          <w:iCs w:val="0"/>
          <w:caps w:val="0"/>
          <w:color w:val="000000"/>
          <w:spacing w:val="0"/>
          <w:sz w:val="21"/>
          <w:szCs w:val="21"/>
        </w:rPr>
      </w:pPr>
      <w:r>
        <w:rPr>
          <w:rFonts w:hint="eastAsia" w:ascii="方正大标宋简体" w:hAnsi="方正大标宋简体" w:eastAsia="方正大标宋简体" w:cs="方正大标宋简体"/>
          <w:i w:val="0"/>
          <w:iCs w:val="0"/>
          <w:caps w:val="0"/>
          <w:color w:val="000000"/>
          <w:spacing w:val="0"/>
          <w:sz w:val="44"/>
          <w:szCs w:val="44"/>
        </w:rPr>
        <w:t>福建省科学技术厅关于组织申报2025年度人工智能产业发展科技专项的通知    </w:t>
      </w:r>
      <w:r>
        <w:rPr>
          <w:rFonts w:hint="default" w:ascii="Arial" w:hAnsi="Arial" w:cs="Arial"/>
          <w:i w:val="0"/>
          <w:iCs w:val="0"/>
          <w:caps w:val="0"/>
          <w:color w:val="000000"/>
          <w:spacing w:val="0"/>
          <w:sz w:val="21"/>
          <w:szCs w:val="21"/>
        </w:rPr>
        <w:t>             </w:t>
      </w:r>
    </w:p>
    <w:p w14:paraId="557794E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闽科资〔2025〕4号</w:t>
      </w:r>
    </w:p>
    <w:p w14:paraId="4EBEF7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有关单位：</w:t>
      </w:r>
    </w:p>
    <w:p w14:paraId="0CB0DA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为落实省委、省政府关于加快推进人工智能产业发展的工作部署，现启动支持人工智能产业发展科技专项科研攻关任务，按项目申报指南要求做好项目申报和推荐工作。</w:t>
      </w:r>
    </w:p>
    <w:p w14:paraId="38F868A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2" w:firstLineChars="200"/>
        <w:jc w:val="both"/>
        <w:textAlignment w:val="auto"/>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一、重点支持方向</w:t>
      </w:r>
    </w:p>
    <w:p w14:paraId="07BDB0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（一）项目名称：面向多模态应用场景的大模型轻量化部署关键技术研发及示范应用</w:t>
      </w:r>
    </w:p>
    <w:p w14:paraId="54D2211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依托省内高校、科研院所和企业开展研发，择优支持2个项目，每个项目资助经费300万元，项目实施期1年6个月。研发内容包括：</w:t>
      </w:r>
    </w:p>
    <w:p w14:paraId="188B43D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1.面向智能任务精准应用的动态工作流管理与自动化编排技术，实现模型精调、数据治理与多模态人机协同的高效执行；</w:t>
      </w:r>
    </w:p>
    <w:p w14:paraId="15DAF94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2.融合大模型与多智能体的动态架构技术，构建基于强化学习的决策机制，支撑系统对复杂需求的自适应响应；</w:t>
      </w:r>
    </w:p>
    <w:p w14:paraId="2708B47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3.面向多模态场景的异构知识融合与增量学习技术，构建向量化检索的知识增强体系，提升知识调用的高效性与实用性；</w:t>
      </w:r>
    </w:p>
    <w:p w14:paraId="460A7DF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4.支持多模型接入、轻量化部署与数据全生命周期管理一体化的标准化工具平台；</w:t>
      </w:r>
    </w:p>
    <w:p w14:paraId="327FBE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5.实现多个领域（同时覆盖3个及以上）的示范应用。</w:t>
      </w:r>
    </w:p>
    <w:p w14:paraId="2B8FBFD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（二）项目名称：基于安全增强型人工智能模型的网络数据安全关键技术研发及示范应用</w:t>
      </w:r>
    </w:p>
    <w:p w14:paraId="719D457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依托省内高校、科研院所和企业开展研发，择优支持1个项目，每个项目资助经费200万元，项目实施期1年6个月。研发内容包括：</w:t>
      </w:r>
    </w:p>
    <w:p w14:paraId="292041E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1.面向智能算法模型的脆弱性分析技术，构建多模态场景下模型安全评估框架，支撑智能算法模型的自动化脆弱性预警；</w:t>
      </w:r>
    </w:p>
    <w:p w14:paraId="7D9AFC9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2.面向数据、模型未知的严格黑盒场景下的智能算法脆弱性挖掘的自适应测试用例动态生成技术，实现模型评估样本的自动化生成与迭代优化；</w:t>
      </w:r>
    </w:p>
    <w:p w14:paraId="35E74AB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3.安全模型对抗训练与动态防御技术，实现多模态场景下的智能算法安全性和可靠性，提升智能算法模型的迭代优化能力；</w:t>
      </w:r>
    </w:p>
    <w:p w14:paraId="358266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4.语义理解与深度特征提取的安全敏感数据智能识别引擎，并推动其在网络数据安全领域的落地应用；</w:t>
      </w:r>
    </w:p>
    <w:p w14:paraId="268812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5.基于智能算法模型的自适应数据动态分级安全增强防护系统；</w:t>
      </w:r>
    </w:p>
    <w:p w14:paraId="45C9395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6.实现多个领域（同时覆盖3个及以上）的示范应用。</w:t>
      </w:r>
    </w:p>
    <w:p w14:paraId="692595D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2" w:firstLineChars="200"/>
        <w:jc w:val="both"/>
        <w:textAlignment w:val="auto"/>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二、申报条件和要求</w:t>
      </w:r>
    </w:p>
    <w:p w14:paraId="4BB61A6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一）项目牵头申报单位必须是在闽具有独立法人资格并具备科研开发能力和条件的企事业单位（不含厦门市属单位）。申报单位不得有到期未验收的省级科技计划项目。若有合作单位应在附件中提交合作协议，协议内容一般包括：项目研究开发内容及分工、知识产权权属、资助经费分配和配套经费筹措等。</w:t>
      </w:r>
    </w:p>
    <w:p w14:paraId="41F987A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二）项目负责人应为实际主持研究工作的项目牵头申报单位的科技人员，不得有到期未验收的省级科技计划项目，项目负责人在项目结束时年龄原则上不超过延迟退休后的法定退休年龄；由企业牵头申报的项目，项目结束时负责人年龄可以放宽到65周岁。科技人员作为项目负责人当年度只能申请1个项目（后立项后补助项目除外）。项目负责人不得有在研的“揭榜挂帅”项目、科技重大专项专题项目、区域发展项目、高校产学合作项目、对外合作项目、星火项目、引导性项目、软科学项目、创新战略研究、 STS 项目、院省合作项目、科技型中小企业技术创新资金项目、自然科学基金项目、高校产学研联合创新项目、科技创新平台建设项目、成果转化项目以及中央引导地方科技发展资金项目。</w:t>
      </w:r>
    </w:p>
    <w:p w14:paraId="04C4388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三）企业作为牵头申报单位的，当年度申报科技重大专项专题项目、区域发展项目、科技型中小企业技术创新资金项目（包括技术创新项目和创新创业大赛获奖项目）、星火项目、对外合作项目、引导性项目、STS项目、院省合作项目、成果转化项目和中央引导地方科技发展项目等项目时，只能申请其中1个项目。</w:t>
      </w:r>
    </w:p>
    <w:p w14:paraId="4997F42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四）项目牵头申报单位、法人代表、项目负责人及课题组成员不得是失信被执行人，不得被列入项目管理严重失信行为记录名单且取消申报资格处罚时限未到期。项目申报单位及项目负责人应保证所提供申报项目信息的真实性，并对信息虚假导致的后果承担责任。</w:t>
      </w:r>
    </w:p>
    <w:p w14:paraId="69DE817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（五）项目研发内容应符合申报指南中规定的重点支持方向和领域范围；项目目标任务应明确具体，体现项目创新性。主要技术指标应量化可考核，形成具有自主知识产权的技术成果。</w:t>
      </w:r>
    </w:p>
    <w:p w14:paraId="0441089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（六）项目研发内容（成果转化）不得多头重复申报，不得与省发改委、工信厅、数据管理局等省直有关单位使用财政资金资助的已立项项目相同或类似。</w:t>
      </w:r>
    </w:p>
    <w:p w14:paraId="184D900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（七）项目牵头申报单位需提供三份（含）以上与行业主管部门或企事业单位已签订的项目合同作为佐证材料。合作中研发内容需与本项目研究内容相关。 </w:t>
      </w:r>
    </w:p>
    <w:p w14:paraId="68E5E04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（八）项目申报单位应严格按照《福建省级科技计划项目经费管理办法》（闽科规〔2022〕8号）的要求，编制科技项目经费预算。</w:t>
      </w:r>
    </w:p>
    <w:p w14:paraId="38BC1E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（九）若实际资助经费未达到申请额度，差额部分由项目申报单位或合作单位自行解决。</w:t>
      </w:r>
    </w:p>
    <w:p w14:paraId="014427E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（十）申报项目研发起始时间为2025年8月1日，结束时间原则上按重点支持方向要求。</w:t>
      </w:r>
    </w:p>
    <w:p w14:paraId="394AB2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（十一）项目申报时，涉及人、实验动物等具有科技伦理风险的研究，应当按照《科技伦理审查办法》（国科发监〔2023〕167号）由申报单位科技伦理审查委员会审查批准。</w:t>
      </w:r>
    </w:p>
    <w:p w14:paraId="667312A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（十二）因未按本通知要求申报导致形式审查不通过的项目，将不再受理项目补充材料。</w:t>
      </w:r>
    </w:p>
    <w:p w14:paraId="697EDC8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2" w:firstLineChars="200"/>
        <w:jc w:val="both"/>
        <w:textAlignment w:val="auto"/>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三、申报推荐数</w:t>
      </w:r>
    </w:p>
    <w:p w14:paraId="1FFA696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本专项高校和科研院所每个单位最多可推荐申报2个项目，各设区市（不含厦门）和省属企业每个单位最多可推荐申报1个项目。</w:t>
      </w:r>
    </w:p>
    <w:p w14:paraId="6E8C41C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2" w:firstLineChars="200"/>
        <w:jc w:val="both"/>
        <w:textAlignment w:val="auto"/>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四 、申报程序</w:t>
      </w:r>
    </w:p>
    <w:p w14:paraId="52ED9F8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(一)本批项目网上申报截止时间为2025年7月10日（申报截止，超过时间将不能提交申请书）。推荐截止时间为2025年7月20日（系统关闭）。</w:t>
      </w:r>
    </w:p>
    <w:p w14:paraId="298C6EF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(二)网上申报流程为：申报单位注册登录福建省科技计划项目管理信息系统（http://xmgl.kjt.fujian.gov.cn）-申报管理-增加项目申请书-选择“引导性项目”及对应指南代码-填报申请书 - 上传附件(推荐意见、合作协议等)。</w:t>
      </w:r>
    </w:p>
    <w:p w14:paraId="5B3954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(三)推荐单位通过“项目管理系统”进行内部审核，负责对申报材料进行网上推荐，并将推荐函、项目汇总表各一式一份，寄(送)达省科技厅高新技术与工业科技处。省科技厅在受理申报项目后将组织评审。</w:t>
      </w:r>
    </w:p>
    <w:p w14:paraId="68033D5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2" w:firstLineChars="200"/>
        <w:jc w:val="both"/>
        <w:textAlignment w:val="auto"/>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五 、申报代码表</w:t>
      </w:r>
    </w:p>
    <w:tbl>
      <w:tblPr>
        <w:tblW w:w="9797" w:type="dxa"/>
        <w:tblInd w:w="0" w:type="dxa"/>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30"/>
        <w:gridCol w:w="1078"/>
        <w:gridCol w:w="1128"/>
        <w:gridCol w:w="4856"/>
        <w:gridCol w:w="1705"/>
      </w:tblGrid>
      <w:tr w14:paraId="0CCD5C25">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1282" w:hRule="atLeast"/>
        </w:trPr>
        <w:tc>
          <w:tcPr>
            <w:tcW w:w="1030" w:type="dxa"/>
            <w:tcBorders>
              <w:top w:val="outset" w:color="auto" w:sz="6" w:space="0"/>
              <w:left w:val="outset" w:color="auto" w:sz="6" w:space="0"/>
              <w:bottom w:val="outset" w:color="auto" w:sz="6" w:space="0"/>
              <w:right w:val="outset" w:color="auto" w:sz="6" w:space="0"/>
            </w:tcBorders>
            <w:shd w:val="clear"/>
            <w:vAlign w:val="center"/>
          </w:tcPr>
          <w:p w14:paraId="6873195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宋体" w:hAnsi="宋体" w:eastAsia="宋体" w:cs="宋体"/>
                <w:sz w:val="28"/>
                <w:szCs w:val="28"/>
              </w:rPr>
            </w:pPr>
            <w:r>
              <w:rPr>
                <w:rStyle w:val="5"/>
                <w:rFonts w:hint="eastAsia" w:ascii="宋体" w:hAnsi="宋体" w:eastAsia="宋体" w:cs="宋体"/>
                <w:caps w:val="0"/>
                <w:spacing w:val="0"/>
                <w:sz w:val="28"/>
                <w:szCs w:val="28"/>
              </w:rPr>
              <w:t>业务处室</w:t>
            </w:r>
          </w:p>
        </w:tc>
        <w:tc>
          <w:tcPr>
            <w:tcW w:w="1078" w:type="dxa"/>
            <w:tcBorders>
              <w:top w:val="outset" w:color="auto" w:sz="6" w:space="0"/>
              <w:left w:val="outset" w:color="auto" w:sz="6" w:space="0"/>
              <w:bottom w:val="outset" w:color="auto" w:sz="6" w:space="0"/>
              <w:right w:val="outset" w:color="auto" w:sz="6" w:space="0"/>
            </w:tcBorders>
            <w:shd w:val="clear"/>
            <w:vAlign w:val="center"/>
          </w:tcPr>
          <w:p w14:paraId="509EEB3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宋体" w:hAnsi="宋体" w:eastAsia="宋体" w:cs="宋体"/>
                <w:sz w:val="28"/>
                <w:szCs w:val="28"/>
              </w:rPr>
            </w:pPr>
            <w:r>
              <w:rPr>
                <w:rStyle w:val="5"/>
                <w:rFonts w:hint="eastAsia" w:ascii="宋体" w:hAnsi="宋体" w:eastAsia="宋体" w:cs="宋体"/>
                <w:caps w:val="0"/>
                <w:spacing w:val="0"/>
                <w:sz w:val="28"/>
                <w:szCs w:val="28"/>
              </w:rPr>
              <w:t>计划</w:t>
            </w:r>
          </w:p>
          <w:p w14:paraId="666D04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宋体" w:hAnsi="宋体" w:eastAsia="宋体" w:cs="宋体"/>
                <w:sz w:val="28"/>
                <w:szCs w:val="28"/>
              </w:rPr>
            </w:pPr>
            <w:r>
              <w:rPr>
                <w:rStyle w:val="5"/>
                <w:rFonts w:hint="eastAsia" w:ascii="宋体" w:hAnsi="宋体" w:eastAsia="宋体" w:cs="宋体"/>
                <w:caps w:val="0"/>
                <w:spacing w:val="0"/>
                <w:sz w:val="28"/>
                <w:szCs w:val="28"/>
              </w:rPr>
              <w:t>类别</w:t>
            </w:r>
          </w:p>
        </w:tc>
        <w:tc>
          <w:tcPr>
            <w:tcW w:w="1128" w:type="dxa"/>
            <w:tcBorders>
              <w:top w:val="outset" w:color="auto" w:sz="6" w:space="0"/>
              <w:left w:val="outset" w:color="auto" w:sz="6" w:space="0"/>
              <w:bottom w:val="outset" w:color="auto" w:sz="6" w:space="0"/>
              <w:right w:val="outset" w:color="auto" w:sz="6" w:space="0"/>
            </w:tcBorders>
            <w:shd w:val="clear"/>
            <w:vAlign w:val="center"/>
          </w:tcPr>
          <w:p w14:paraId="3AD005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宋体" w:hAnsi="宋体" w:eastAsia="宋体" w:cs="宋体"/>
                <w:sz w:val="28"/>
                <w:szCs w:val="28"/>
              </w:rPr>
            </w:pPr>
            <w:r>
              <w:rPr>
                <w:rStyle w:val="5"/>
                <w:rFonts w:hint="eastAsia" w:ascii="宋体" w:hAnsi="宋体" w:eastAsia="宋体" w:cs="宋体"/>
                <w:caps w:val="0"/>
                <w:spacing w:val="0"/>
                <w:sz w:val="28"/>
                <w:szCs w:val="28"/>
              </w:rPr>
              <w:t>项目</w:t>
            </w:r>
          </w:p>
          <w:p w14:paraId="2C8CD43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宋体" w:hAnsi="宋体" w:eastAsia="宋体" w:cs="宋体"/>
                <w:sz w:val="28"/>
                <w:szCs w:val="28"/>
              </w:rPr>
            </w:pPr>
            <w:r>
              <w:rPr>
                <w:rStyle w:val="5"/>
                <w:rFonts w:hint="eastAsia" w:ascii="宋体" w:hAnsi="宋体" w:eastAsia="宋体" w:cs="宋体"/>
                <w:caps w:val="0"/>
                <w:spacing w:val="0"/>
                <w:sz w:val="28"/>
                <w:szCs w:val="28"/>
              </w:rPr>
              <w:t>类型</w:t>
            </w:r>
          </w:p>
        </w:tc>
        <w:tc>
          <w:tcPr>
            <w:tcW w:w="4856" w:type="dxa"/>
            <w:tcBorders>
              <w:top w:val="outset" w:color="auto" w:sz="6" w:space="0"/>
              <w:left w:val="outset" w:color="auto" w:sz="6" w:space="0"/>
              <w:bottom w:val="outset" w:color="auto" w:sz="6" w:space="0"/>
              <w:right w:val="outset" w:color="auto" w:sz="6" w:space="0"/>
            </w:tcBorders>
            <w:shd w:val="clear"/>
            <w:vAlign w:val="center"/>
          </w:tcPr>
          <w:p w14:paraId="0A6160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宋体" w:hAnsi="宋体" w:eastAsia="宋体" w:cs="宋体"/>
                <w:sz w:val="28"/>
                <w:szCs w:val="28"/>
              </w:rPr>
            </w:pPr>
            <w:r>
              <w:rPr>
                <w:rStyle w:val="5"/>
                <w:rFonts w:hint="eastAsia" w:ascii="宋体" w:hAnsi="宋体" w:eastAsia="宋体" w:cs="宋体"/>
                <w:caps w:val="0"/>
                <w:spacing w:val="0"/>
                <w:sz w:val="28"/>
                <w:szCs w:val="28"/>
              </w:rPr>
              <w:t>优先主题</w:t>
            </w:r>
          </w:p>
        </w:tc>
        <w:tc>
          <w:tcPr>
            <w:tcW w:w="1705" w:type="dxa"/>
            <w:tcBorders>
              <w:top w:val="outset" w:color="auto" w:sz="6" w:space="0"/>
              <w:left w:val="outset" w:color="auto" w:sz="6" w:space="0"/>
              <w:bottom w:val="outset" w:color="auto" w:sz="6" w:space="0"/>
              <w:right w:val="outset" w:color="auto" w:sz="6" w:space="0"/>
            </w:tcBorders>
            <w:shd w:val="clear"/>
            <w:vAlign w:val="center"/>
          </w:tcPr>
          <w:p w14:paraId="710B972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宋体" w:hAnsi="宋体" w:eastAsia="宋体" w:cs="宋体"/>
                <w:sz w:val="28"/>
                <w:szCs w:val="28"/>
              </w:rPr>
            </w:pPr>
            <w:r>
              <w:rPr>
                <w:rStyle w:val="5"/>
                <w:rFonts w:hint="eastAsia" w:ascii="宋体" w:hAnsi="宋体" w:eastAsia="宋体" w:cs="宋体"/>
                <w:caps w:val="0"/>
                <w:spacing w:val="0"/>
                <w:sz w:val="28"/>
                <w:szCs w:val="28"/>
              </w:rPr>
              <w:t>指南</w:t>
            </w:r>
          </w:p>
          <w:p w14:paraId="79ED44A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宋体" w:hAnsi="宋体" w:eastAsia="宋体" w:cs="宋体"/>
                <w:sz w:val="28"/>
                <w:szCs w:val="28"/>
              </w:rPr>
            </w:pPr>
            <w:r>
              <w:rPr>
                <w:rStyle w:val="5"/>
                <w:rFonts w:hint="eastAsia" w:ascii="宋体" w:hAnsi="宋体" w:eastAsia="宋体" w:cs="宋体"/>
                <w:caps w:val="0"/>
                <w:spacing w:val="0"/>
                <w:sz w:val="28"/>
                <w:szCs w:val="28"/>
              </w:rPr>
              <w:t>代码</w:t>
            </w:r>
          </w:p>
        </w:tc>
      </w:tr>
      <w:tr w14:paraId="1861F2FD">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511" w:hRule="atLeast"/>
        </w:trPr>
        <w:tc>
          <w:tcPr>
            <w:tcW w:w="1030" w:type="dxa"/>
            <w:vMerge w:val="restart"/>
            <w:tcBorders>
              <w:top w:val="outset" w:color="auto" w:sz="6" w:space="0"/>
              <w:left w:val="outset" w:color="auto" w:sz="6" w:space="0"/>
              <w:bottom w:val="outset" w:color="auto" w:sz="6" w:space="0"/>
              <w:right w:val="outset" w:color="auto" w:sz="6" w:space="0"/>
            </w:tcBorders>
            <w:shd w:val="clear"/>
            <w:vAlign w:val="center"/>
          </w:tcPr>
          <w:p w14:paraId="02F46B6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both"/>
              <w:textAlignment w:val="auto"/>
              <w:rPr>
                <w:rFonts w:hint="eastAsia" w:ascii="宋体" w:hAnsi="宋体" w:eastAsia="宋体" w:cs="宋体"/>
                <w:sz w:val="28"/>
                <w:szCs w:val="28"/>
              </w:rPr>
            </w:pPr>
            <w:r>
              <w:rPr>
                <w:rFonts w:hint="eastAsia" w:ascii="宋体" w:hAnsi="宋体" w:eastAsia="宋体" w:cs="宋体"/>
                <w:caps w:val="0"/>
                <w:spacing w:val="0"/>
                <w:sz w:val="28"/>
                <w:szCs w:val="28"/>
              </w:rPr>
              <w:t>高新技术与工业科技处</w:t>
            </w:r>
          </w:p>
        </w:tc>
        <w:tc>
          <w:tcPr>
            <w:tcW w:w="1078" w:type="dxa"/>
            <w:vMerge w:val="restart"/>
            <w:tcBorders>
              <w:top w:val="outset" w:color="auto" w:sz="6" w:space="0"/>
              <w:left w:val="outset" w:color="auto" w:sz="6" w:space="0"/>
              <w:bottom w:val="outset" w:color="auto" w:sz="6" w:space="0"/>
              <w:right w:val="outset" w:color="auto" w:sz="6" w:space="0"/>
            </w:tcBorders>
            <w:shd w:val="clear"/>
            <w:vAlign w:val="center"/>
          </w:tcPr>
          <w:p w14:paraId="0A87E7D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both"/>
              <w:textAlignment w:val="auto"/>
              <w:rPr>
                <w:rFonts w:hint="eastAsia" w:ascii="宋体" w:hAnsi="宋体" w:eastAsia="宋体" w:cs="宋体"/>
                <w:sz w:val="28"/>
                <w:szCs w:val="28"/>
              </w:rPr>
            </w:pPr>
            <w:r>
              <w:rPr>
                <w:rFonts w:hint="eastAsia" w:ascii="宋体" w:hAnsi="宋体" w:eastAsia="宋体" w:cs="宋体"/>
                <w:caps w:val="0"/>
                <w:spacing w:val="0"/>
                <w:sz w:val="28"/>
                <w:szCs w:val="28"/>
              </w:rPr>
              <w:t>产业技术开发和应用计划</w:t>
            </w:r>
          </w:p>
        </w:tc>
        <w:tc>
          <w:tcPr>
            <w:tcW w:w="1128" w:type="dxa"/>
            <w:vMerge w:val="restart"/>
            <w:tcBorders>
              <w:top w:val="outset" w:color="auto" w:sz="6" w:space="0"/>
              <w:left w:val="outset" w:color="auto" w:sz="6" w:space="0"/>
              <w:bottom w:val="outset" w:color="auto" w:sz="6" w:space="0"/>
              <w:right w:val="outset" w:color="auto" w:sz="6" w:space="0"/>
            </w:tcBorders>
            <w:shd w:val="clear"/>
            <w:vAlign w:val="center"/>
          </w:tcPr>
          <w:p w14:paraId="5879989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both"/>
              <w:textAlignment w:val="auto"/>
              <w:rPr>
                <w:rFonts w:hint="eastAsia" w:ascii="宋体" w:hAnsi="宋体" w:eastAsia="宋体" w:cs="宋体"/>
                <w:sz w:val="28"/>
                <w:szCs w:val="28"/>
              </w:rPr>
            </w:pPr>
            <w:r>
              <w:rPr>
                <w:rFonts w:hint="eastAsia" w:ascii="宋体" w:hAnsi="宋体" w:eastAsia="宋体" w:cs="宋体"/>
                <w:caps w:val="0"/>
                <w:spacing w:val="0"/>
                <w:sz w:val="28"/>
                <w:szCs w:val="28"/>
              </w:rPr>
              <w:t>工业科技引导性项目</w:t>
            </w:r>
          </w:p>
        </w:tc>
        <w:tc>
          <w:tcPr>
            <w:tcW w:w="4856" w:type="dxa"/>
            <w:tcBorders>
              <w:top w:val="outset" w:color="auto" w:sz="6" w:space="0"/>
              <w:left w:val="outset" w:color="auto" w:sz="6" w:space="0"/>
              <w:bottom w:val="outset" w:color="auto" w:sz="6" w:space="0"/>
              <w:right w:val="outset" w:color="auto" w:sz="6" w:space="0"/>
            </w:tcBorders>
            <w:shd w:val="clear"/>
            <w:vAlign w:val="top"/>
          </w:tcPr>
          <w:p w14:paraId="1F3C353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both"/>
              <w:textAlignment w:val="auto"/>
              <w:rPr>
                <w:rFonts w:hint="eastAsia" w:ascii="宋体" w:hAnsi="宋体" w:eastAsia="宋体" w:cs="宋体"/>
                <w:sz w:val="28"/>
                <w:szCs w:val="28"/>
              </w:rPr>
            </w:pPr>
            <w:r>
              <w:rPr>
                <w:rFonts w:hint="eastAsia" w:ascii="宋体" w:hAnsi="宋体" w:eastAsia="宋体" w:cs="宋体"/>
                <w:caps w:val="0"/>
                <w:spacing w:val="0"/>
                <w:sz w:val="28"/>
                <w:szCs w:val="28"/>
              </w:rPr>
              <w:t>面向多模态应用场景的大模型轻量化部署关键技术研发及示范应用</w:t>
            </w:r>
          </w:p>
        </w:tc>
        <w:tc>
          <w:tcPr>
            <w:tcW w:w="1705" w:type="dxa"/>
            <w:tcBorders>
              <w:top w:val="outset" w:color="auto" w:sz="6" w:space="0"/>
              <w:left w:val="outset" w:color="auto" w:sz="6" w:space="0"/>
              <w:bottom w:val="outset" w:color="auto" w:sz="6" w:space="0"/>
              <w:right w:val="outset" w:color="auto" w:sz="6" w:space="0"/>
            </w:tcBorders>
            <w:shd w:val="clear"/>
            <w:vAlign w:val="center"/>
          </w:tcPr>
          <w:p w14:paraId="7AB7CE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宋体" w:hAnsi="宋体" w:eastAsia="宋体" w:cs="宋体"/>
                <w:sz w:val="28"/>
                <w:szCs w:val="28"/>
              </w:rPr>
            </w:pPr>
            <w:r>
              <w:rPr>
                <w:rFonts w:hint="eastAsia" w:ascii="宋体" w:hAnsi="宋体" w:eastAsia="宋体" w:cs="宋体"/>
                <w:caps w:val="0"/>
                <w:spacing w:val="0"/>
                <w:sz w:val="28"/>
                <w:szCs w:val="28"/>
              </w:rPr>
              <w:t>2025H0108</w:t>
            </w:r>
          </w:p>
        </w:tc>
      </w:tr>
      <w:tr w14:paraId="6BC48A68">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990" w:hRule="atLeast"/>
        </w:trPr>
        <w:tc>
          <w:tcPr>
            <w:tcW w:w="1030" w:type="dxa"/>
            <w:vMerge w:val="continue"/>
            <w:tcBorders>
              <w:top w:val="outset" w:color="auto" w:sz="6" w:space="0"/>
              <w:left w:val="outset" w:color="auto" w:sz="6" w:space="0"/>
              <w:bottom w:val="outset" w:color="auto" w:sz="6" w:space="0"/>
              <w:right w:val="outset" w:color="auto" w:sz="6" w:space="0"/>
            </w:tcBorders>
            <w:shd w:val="clear"/>
            <w:vAlign w:val="center"/>
          </w:tcPr>
          <w:p w14:paraId="77794304">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caps w:val="0"/>
                <w:spacing w:val="0"/>
                <w:sz w:val="28"/>
                <w:szCs w:val="28"/>
              </w:rPr>
            </w:pPr>
          </w:p>
        </w:tc>
        <w:tc>
          <w:tcPr>
            <w:tcW w:w="1078" w:type="dxa"/>
            <w:vMerge w:val="continue"/>
            <w:tcBorders>
              <w:top w:val="outset" w:color="auto" w:sz="6" w:space="0"/>
              <w:left w:val="outset" w:color="auto" w:sz="6" w:space="0"/>
              <w:bottom w:val="outset" w:color="auto" w:sz="6" w:space="0"/>
              <w:right w:val="outset" w:color="auto" w:sz="6" w:space="0"/>
            </w:tcBorders>
            <w:shd w:val="clear"/>
            <w:vAlign w:val="center"/>
          </w:tcPr>
          <w:p w14:paraId="451316F6">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caps w:val="0"/>
                <w:spacing w:val="0"/>
                <w:sz w:val="28"/>
                <w:szCs w:val="28"/>
              </w:rPr>
            </w:pPr>
          </w:p>
        </w:tc>
        <w:tc>
          <w:tcPr>
            <w:tcW w:w="1128" w:type="dxa"/>
            <w:vMerge w:val="continue"/>
            <w:tcBorders>
              <w:top w:val="outset" w:color="auto" w:sz="6" w:space="0"/>
              <w:left w:val="outset" w:color="auto" w:sz="6" w:space="0"/>
              <w:bottom w:val="outset" w:color="auto" w:sz="6" w:space="0"/>
              <w:right w:val="outset" w:color="auto" w:sz="6" w:space="0"/>
            </w:tcBorders>
            <w:shd w:val="clear"/>
            <w:vAlign w:val="center"/>
          </w:tcPr>
          <w:p w14:paraId="4A486ABB">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caps w:val="0"/>
                <w:spacing w:val="0"/>
                <w:sz w:val="28"/>
                <w:szCs w:val="28"/>
              </w:rPr>
            </w:pPr>
          </w:p>
        </w:tc>
        <w:tc>
          <w:tcPr>
            <w:tcW w:w="4856" w:type="dxa"/>
            <w:tcBorders>
              <w:top w:val="outset" w:color="auto" w:sz="6" w:space="0"/>
              <w:left w:val="outset" w:color="auto" w:sz="6" w:space="0"/>
              <w:bottom w:val="outset" w:color="auto" w:sz="6" w:space="0"/>
              <w:right w:val="outset" w:color="auto" w:sz="6" w:space="0"/>
            </w:tcBorders>
            <w:shd w:val="clear"/>
            <w:vAlign w:val="top"/>
          </w:tcPr>
          <w:p w14:paraId="61D2B79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both"/>
              <w:textAlignment w:val="auto"/>
              <w:rPr>
                <w:rFonts w:hint="eastAsia" w:ascii="宋体" w:hAnsi="宋体" w:eastAsia="宋体" w:cs="宋体"/>
                <w:sz w:val="28"/>
                <w:szCs w:val="28"/>
              </w:rPr>
            </w:pPr>
            <w:r>
              <w:rPr>
                <w:rFonts w:hint="eastAsia" w:ascii="宋体" w:hAnsi="宋体" w:eastAsia="宋体" w:cs="宋体"/>
                <w:caps w:val="0"/>
                <w:spacing w:val="0"/>
                <w:sz w:val="28"/>
                <w:szCs w:val="28"/>
              </w:rPr>
              <w:t>基于安全增强型人工智能模型的网络数据安全关键技术研发及示范应用</w:t>
            </w:r>
          </w:p>
        </w:tc>
        <w:tc>
          <w:tcPr>
            <w:tcW w:w="1705" w:type="dxa"/>
            <w:tcBorders>
              <w:top w:val="outset" w:color="auto" w:sz="6" w:space="0"/>
              <w:left w:val="outset" w:color="auto" w:sz="6" w:space="0"/>
              <w:bottom w:val="outset" w:color="auto" w:sz="6" w:space="0"/>
              <w:right w:val="outset" w:color="auto" w:sz="6" w:space="0"/>
            </w:tcBorders>
            <w:shd w:val="clear"/>
            <w:vAlign w:val="center"/>
          </w:tcPr>
          <w:p w14:paraId="75E6B93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宋体" w:hAnsi="宋体" w:eastAsia="宋体" w:cs="宋体"/>
                <w:sz w:val="28"/>
                <w:szCs w:val="28"/>
              </w:rPr>
            </w:pPr>
            <w:r>
              <w:rPr>
                <w:rFonts w:hint="eastAsia" w:ascii="宋体" w:hAnsi="宋体" w:eastAsia="宋体" w:cs="宋体"/>
                <w:caps w:val="0"/>
                <w:spacing w:val="0"/>
                <w:sz w:val="28"/>
                <w:szCs w:val="28"/>
              </w:rPr>
              <w:t>2025H0109</w:t>
            </w:r>
          </w:p>
        </w:tc>
      </w:tr>
    </w:tbl>
    <w:p w14:paraId="1101325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p>
    <w:p w14:paraId="3B14F61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联系单位：省科技厅高新处，联系人：方宏威，联系电话：0591-87881523。</w:t>
      </w:r>
    </w:p>
    <w:p w14:paraId="70A7064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p>
    <w:p w14:paraId="4816344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r>
        <w:rPr>
          <w:rFonts w:hint="eastAsia" w:ascii="宋体" w:hAnsi="宋体" w:eastAsia="宋体" w:cs="宋体"/>
          <w:i w:val="0"/>
          <w:iCs w:val="0"/>
          <w:caps w:val="0"/>
          <w:color w:val="000000"/>
          <w:spacing w:val="0"/>
          <w:sz w:val="28"/>
          <w:szCs w:val="28"/>
          <w:lang w:val="en-US" w:eastAsia="zh-CN"/>
        </w:rPr>
        <w:t xml:space="preserve">                            </w:t>
      </w:r>
      <w:r>
        <w:rPr>
          <w:rFonts w:hint="eastAsia" w:ascii="宋体" w:hAnsi="宋体" w:eastAsia="宋体" w:cs="宋体"/>
          <w:i w:val="0"/>
          <w:iCs w:val="0"/>
          <w:caps w:val="0"/>
          <w:color w:val="000000"/>
          <w:spacing w:val="0"/>
          <w:sz w:val="28"/>
          <w:szCs w:val="28"/>
        </w:rPr>
        <w:t xml:space="preserve">     </w:t>
      </w:r>
      <w:r>
        <w:rPr>
          <w:rFonts w:hint="eastAsia" w:ascii="宋体" w:hAnsi="宋体" w:eastAsia="宋体" w:cs="宋体"/>
          <w:i w:val="0"/>
          <w:iCs w:val="0"/>
          <w:caps w:val="0"/>
          <w:color w:val="000000"/>
          <w:spacing w:val="0"/>
          <w:sz w:val="28"/>
          <w:szCs w:val="28"/>
          <w:lang w:val="en-US" w:eastAsia="zh-CN"/>
        </w:rPr>
        <w:t xml:space="preserve">    </w:t>
      </w:r>
      <w:r>
        <w:rPr>
          <w:rFonts w:hint="eastAsia" w:ascii="宋体" w:hAnsi="宋体" w:eastAsia="宋体" w:cs="宋体"/>
          <w:i w:val="0"/>
          <w:iCs w:val="0"/>
          <w:caps w:val="0"/>
          <w:color w:val="000000"/>
          <w:spacing w:val="0"/>
          <w:sz w:val="28"/>
          <w:szCs w:val="28"/>
        </w:rPr>
        <w:t>福建省科学技术厅</w:t>
      </w:r>
    </w:p>
    <w:p w14:paraId="607F06D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r>
        <w:rPr>
          <w:rFonts w:hint="eastAsia" w:ascii="宋体" w:hAnsi="宋体" w:eastAsia="宋体" w:cs="宋体"/>
          <w:i w:val="0"/>
          <w:iCs w:val="0"/>
          <w:caps w:val="0"/>
          <w:color w:val="000000"/>
          <w:spacing w:val="0"/>
          <w:sz w:val="28"/>
          <w:szCs w:val="28"/>
          <w:lang w:val="en-US" w:eastAsia="zh-CN"/>
        </w:rPr>
        <w:t xml:space="preserve">                               </w:t>
      </w:r>
      <w:r>
        <w:rPr>
          <w:rFonts w:hint="eastAsia" w:ascii="宋体" w:hAnsi="宋体" w:eastAsia="宋体" w:cs="宋体"/>
          <w:i w:val="0"/>
          <w:iCs w:val="0"/>
          <w:caps w:val="0"/>
          <w:color w:val="000000"/>
          <w:spacing w:val="0"/>
          <w:sz w:val="28"/>
          <w:szCs w:val="28"/>
        </w:rPr>
        <w:t xml:space="preserve"> 2025年6月13日</w:t>
      </w:r>
    </w:p>
    <w:p w14:paraId="430DC66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 xml:space="preserve">    </w:t>
      </w:r>
      <w:r>
        <w:rPr>
          <w:rFonts w:hint="eastAsia" w:ascii="宋体" w:hAnsi="宋体" w:eastAsia="宋体" w:cs="宋体"/>
          <w:i w:val="0"/>
          <w:iCs w:val="0"/>
          <w:caps w:val="0"/>
          <w:color w:val="000000"/>
          <w:spacing w:val="0"/>
          <w:sz w:val="28"/>
          <w:szCs w:val="28"/>
          <w:lang w:val="en-US" w:eastAsia="zh-CN"/>
        </w:rPr>
        <w:t xml:space="preserve">                   </w:t>
      </w:r>
      <w:r>
        <w:rPr>
          <w:rFonts w:hint="eastAsia" w:ascii="宋体" w:hAnsi="宋体" w:eastAsia="宋体" w:cs="宋体"/>
          <w:i w:val="0"/>
          <w:iCs w:val="0"/>
          <w:caps w:val="0"/>
          <w:color w:val="000000"/>
          <w:spacing w:val="0"/>
          <w:sz w:val="28"/>
          <w:szCs w:val="28"/>
        </w:rPr>
        <w:t>（此件主动公开）</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584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2025-06-20T03:17:16Z</dcterms:created>
  <dc:creator>admin1</dc:creator>
  <cp:lastModifiedBy>章国中</cp:lastModifiedBy>
  <dcterms:modified xsi:type="dcterms:W3CDTF">2025-06-20T03:24:41Z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eyJoZGlkIjoiNmVjYTRmZDMzMDBiNTAyNTNkNjEwMmU2Y2RmNTA1NmQiLCJ1c2VySWQiOiI2ODUyODgwODYifQ==</vt:lpwstr>
  </property>
  <property fmtid="{D5CDD505-2E9C-101B-9397-08002B2CF9AE}" pid="4" name="ICV">
    <vt:lpwstr>27C5756E51C44B708CADDEBBB774D75D_12</vt:lpwstr>
  </property>
</Properties>
</file>