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center"/>
        <w:rPr>
          <w:rFonts w:hint="eastAsia" w:ascii="宋体" w:hAnsi="宋体" w:eastAsia="宋体"/>
          <w:color w:val="auto"/>
          <w:spacing w:val="20"/>
          <w:sz w:val="90"/>
          <w:szCs w:val="90"/>
          <w:u w:val="none"/>
        </w:rPr>
      </w:pPr>
    </w:p>
    <w:p>
      <w:pPr>
        <w:adjustRightInd w:val="0"/>
        <w:jc w:val="center"/>
        <w:rPr>
          <w:rFonts w:hint="eastAsia" w:ascii="宋体" w:hAnsi="宋体" w:eastAsia="宋体"/>
          <w:color w:val="auto"/>
          <w:spacing w:val="20"/>
          <w:sz w:val="90"/>
          <w:szCs w:val="90"/>
          <w:u w:val="none"/>
        </w:rPr>
      </w:pPr>
    </w:p>
    <w:p>
      <w:pPr>
        <w:adjustRightInd w:val="0"/>
        <w:jc w:val="center"/>
        <w:rPr>
          <w:rFonts w:hint="eastAsia" w:ascii="宋体" w:hAnsi="宋体" w:eastAsia="宋体"/>
          <w:color w:val="FF0000"/>
          <w:spacing w:val="20"/>
          <w:sz w:val="90"/>
          <w:szCs w:val="90"/>
          <w:u w:val="none"/>
        </w:rPr>
      </w:pPr>
      <w:r>
        <w:rPr>
          <w:rFonts w:hint="eastAsia" w:ascii="宋体" w:hAnsi="宋体" w:eastAsia="宋体"/>
          <w:color w:val="FF0000"/>
          <w:spacing w:val="20"/>
          <w:sz w:val="90"/>
          <w:szCs w:val="90"/>
          <w:u w:val="none"/>
        </w:rPr>
        <w:t>泉州师范学院文件</w:t>
      </w:r>
    </w:p>
    <w:p>
      <w:pPr>
        <w:jc w:val="center"/>
        <w:rPr>
          <w:rFonts w:hint="eastAsia" w:ascii="仿宋_GB2312"/>
          <w:color w:val="auto"/>
          <w:sz w:val="28"/>
          <w:szCs w:val="28"/>
          <w:u w:val="none"/>
        </w:rPr>
      </w:pPr>
    </w:p>
    <w:p>
      <w:pPr>
        <w:jc w:val="center"/>
        <w:rPr>
          <w:rFonts w:hint="eastAsia" w:ascii="仿宋" w:hAnsi="仿宋" w:eastAsia="仿宋" w:cs="仿宋"/>
          <w:b/>
          <w:color w:val="auto"/>
          <w:spacing w:val="80"/>
          <w:sz w:val="32"/>
          <w:szCs w:val="32"/>
          <w:u w:val="none"/>
        </w:rPr>
      </w:pPr>
      <w:r>
        <w:rPr>
          <w:rFonts w:hint="eastAsia" w:ascii="仿宋" w:hAnsi="仿宋" w:eastAsia="仿宋" w:cs="仿宋"/>
          <w:color w:val="auto"/>
          <w:sz w:val="32"/>
          <w:szCs w:val="32"/>
          <w:u w:val="none"/>
        </w:rPr>
        <w:t>泉师教</w:t>
      </w:r>
      <w:r>
        <w:rPr>
          <w:rFonts w:hint="eastAsia" w:ascii="仿宋" w:hAnsi="仿宋" w:eastAsia="仿宋" w:cs="仿宋"/>
          <w:color w:val="auto"/>
          <w:kern w:val="0"/>
          <w:sz w:val="32"/>
          <w:szCs w:val="32"/>
          <w:u w:val="none"/>
        </w:rPr>
        <w:t>〔201</w:t>
      </w:r>
      <w:r>
        <w:rPr>
          <w:rFonts w:hint="eastAsia" w:ascii="仿宋" w:hAnsi="仿宋" w:eastAsia="仿宋" w:cs="仿宋"/>
          <w:color w:val="auto"/>
          <w:kern w:val="0"/>
          <w:sz w:val="32"/>
          <w:szCs w:val="32"/>
          <w:u w:val="none"/>
          <w:lang w:val="en-US" w:eastAsia="zh-CN"/>
        </w:rPr>
        <w:t>7</w:t>
      </w:r>
      <w:r>
        <w:rPr>
          <w:rFonts w:hint="eastAsia" w:ascii="仿宋" w:hAnsi="仿宋" w:eastAsia="仿宋" w:cs="仿宋"/>
          <w:color w:val="auto"/>
          <w:kern w:val="0"/>
          <w:sz w:val="32"/>
          <w:szCs w:val="32"/>
          <w:u w:val="none"/>
        </w:rPr>
        <w:t>〕</w:t>
      </w:r>
      <w:r>
        <w:rPr>
          <w:rFonts w:hint="eastAsia" w:ascii="仿宋" w:hAnsi="仿宋" w:eastAsia="仿宋" w:cs="仿宋"/>
          <w:color w:val="auto"/>
          <w:kern w:val="0"/>
          <w:sz w:val="32"/>
          <w:szCs w:val="32"/>
          <w:u w:val="none"/>
          <w:lang w:val="en-US" w:eastAsia="zh-CN"/>
        </w:rPr>
        <w:t>55</w:t>
      </w:r>
      <w:r>
        <w:rPr>
          <w:rFonts w:hint="eastAsia" w:ascii="仿宋" w:hAnsi="仿宋" w:eastAsia="仿宋" w:cs="仿宋"/>
          <w:color w:val="auto"/>
          <w:sz w:val="32"/>
          <w:szCs w:val="32"/>
          <w:u w:val="none"/>
        </w:rPr>
        <w:t>号</w:t>
      </w:r>
      <w:bookmarkStart w:id="0" w:name="_GoBack"/>
      <w:bookmarkEnd w:id="0"/>
    </w:p>
    <w:p>
      <w:pPr>
        <w:spacing w:line="540" w:lineRule="exact"/>
        <w:jc w:val="center"/>
        <w:rPr>
          <w:rFonts w:hint="eastAsia" w:ascii="宋体" w:hAnsi="宋体" w:eastAsia="宋体"/>
          <w:color w:val="auto"/>
          <w:u w:val="none"/>
        </w:rPr>
      </w:pPr>
      <w:r>
        <w:rPr>
          <w:sz w:val="21"/>
        </w:rPr>
        <mc:AlternateContent>
          <mc:Choice Requires="wps">
            <w:drawing>
              <wp:anchor distT="0" distB="0" distL="114300" distR="114300" simplePos="0" relativeHeight="251662336" behindDoc="0" locked="0" layoutInCell="1" allowOverlap="1">
                <wp:simplePos x="0" y="0"/>
                <wp:positionH relativeFrom="column">
                  <wp:posOffset>46355</wp:posOffset>
                </wp:positionH>
                <wp:positionV relativeFrom="paragraph">
                  <wp:posOffset>188595</wp:posOffset>
                </wp:positionV>
                <wp:extent cx="5619750" cy="635"/>
                <wp:effectExtent l="0" t="0" r="0" b="0"/>
                <wp:wrapNone/>
                <wp:docPr id="2" name="直线 2"/>
                <wp:cNvGraphicFramePr/>
                <a:graphic xmlns:a="http://schemas.openxmlformats.org/drawingml/2006/main">
                  <a:graphicData uri="http://schemas.microsoft.com/office/word/2010/wordprocessingShape">
                    <wps:wsp>
                      <wps:cNvSpPr/>
                      <wps:spPr>
                        <a:xfrm>
                          <a:off x="0" y="0"/>
                          <a:ext cx="5619750" cy="635"/>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3.65pt;margin-top:14.85pt;height:0.05pt;width:442.5pt;z-index:251662336;mso-width-relative:page;mso-height-relative:page;" fillcolor="#FFFFFF" filled="t" stroked="t" coordsize="21600,21600" o:gfxdata="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9NeTRdUAAAAHAQAADwAAAAAAAAABACAAAAAiAAAA&#10;ZHJzL2Rvd25yZXYueG1sUEsBAhQAFAAAAAgAh07iQJKIIcnRAQAAkAMAAA4AAAAAAAAAAQAgAAAA&#10;JAEAAGRycy9lMm9Eb2MueG1sUEsFBgAAAAAGAAYAWQEAAGcFAAAAAA==&#10;">
                <v:path arrowok="t"/>
                <v:fill type="gradient" on="t" color2="#FFFFFF" angle="90" focus="0%" focussize="0f,0f" focusposition="0f,0f">
                  <o:fill type="gradientUnscaled" v:ext="backwardCompatible"/>
                </v:fill>
                <v:stroke weight="1.25pt" color="#FF0000"/>
                <v:imagedata o:title=""/>
                <o:lock v:ext="edit" aspectratio="f"/>
              </v:line>
            </w:pict>
          </mc:Fallback>
        </mc:AlternateContent>
      </w:r>
    </w:p>
    <w:p>
      <w:pPr>
        <w:spacing w:line="540" w:lineRule="exact"/>
        <w:jc w:val="center"/>
        <w:rPr>
          <w:rFonts w:hint="eastAsia" w:ascii="宋体" w:hAnsi="宋体" w:eastAsia="宋体"/>
          <w:color w:val="auto"/>
          <w:u w:val="none"/>
        </w:rPr>
      </w:pPr>
      <w:r>
        <w:rPr>
          <w:rFonts w:hint="eastAsia" w:ascii="宋体" w:hAnsi="宋体"/>
          <w:b/>
          <w:color w:val="auto"/>
          <w:sz w:val="30"/>
          <w:szCs w:val="30"/>
          <w:u w:val="none"/>
          <w:lang w:val="zh-CN" w:eastAsia="zh-CN"/>
        </w:rP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142875</wp:posOffset>
                </wp:positionV>
                <wp:extent cx="5486400" cy="5080"/>
                <wp:effectExtent l="0" t="0" r="0" b="0"/>
                <wp:wrapNone/>
                <wp:docPr id="11" name="直线 5"/>
                <wp:cNvGraphicFramePr/>
                <a:graphic xmlns:a="http://schemas.openxmlformats.org/drawingml/2006/main">
                  <a:graphicData uri="http://schemas.microsoft.com/office/word/2010/wordprocessingShape">
                    <wps:wsp>
                      <wps:cNvCnPr/>
                      <wps:spPr>
                        <a:xfrm flipV="1">
                          <a:off x="0" y="0"/>
                          <a:ext cx="5486400" cy="5080"/>
                        </a:xfrm>
                        <a:prstGeom prst="line">
                          <a:avLst/>
                        </a:prstGeom>
                        <a:ln w="25400" cap="flat" cmpd="sng">
                          <a:solidFill>
                            <a:srgbClr val="FFFFFF"/>
                          </a:solidFill>
                          <a:prstDash val="solid"/>
                          <a:headEnd type="none" w="med" len="med"/>
                          <a:tailEnd type="none" w="med" len="med"/>
                        </a:ln>
                        <a:effectLst/>
                      </wps:spPr>
                      <wps:bodyPr upright="1"/>
                    </wps:wsp>
                  </a:graphicData>
                </a:graphic>
              </wp:anchor>
            </w:drawing>
          </mc:Choice>
          <mc:Fallback>
            <w:pict>
              <v:line id="直线 5" o:spid="_x0000_s1026" o:spt="20" style="position:absolute;left:0pt;flip:y;margin-left:10.8pt;margin-top:11.25pt;height:0.4pt;width:432pt;z-index:251659264;mso-width-relative:page;mso-height-relative:page;" filled="f" stroked="t" coordsize="21600,21600" o:gfxdata="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59YjV2QAAAAgBAAAP&#10;AAAAAAAAAAEAIAAAACIAAABkcnMvZG93bnJldi54bWxQSwECFAAUAAAACACHTuJAgUffCd4BAACq&#10;AwAADgAAAAAAAAABACAAAAAoAQAAZHJzL2Uyb0RvYy54bWxQSwUGAAAAAAYABgBZAQAAeAUAAAAA&#10;">
                <v:fill on="f" focussize="0,0"/>
                <v:stroke weight="2pt" color="#FFFFFF" joinstyle="round"/>
                <v:imagedata o:title=""/>
                <o:lock v:ext="edit" aspectratio="f"/>
              </v:line>
            </w:pict>
          </mc:Fallback>
        </mc:AlternateContent>
      </w:r>
      <w:r>
        <w:rPr>
          <w:rFonts w:hint="eastAsia" w:ascii="宋体" w:hAnsi="宋体" w:eastAsia="宋体"/>
          <w:color w:val="auto"/>
          <w:u w:val="none"/>
        </w:rPr>
        <w:t xml:space="preserve">                   </w:t>
      </w:r>
      <w:r>
        <w:rPr>
          <w:rFonts w:hint="eastAsia" w:ascii="宋体" w:hAnsi="宋体" w:eastAsia="宋体"/>
          <w:color w:val="auto"/>
          <w:sz w:val="36"/>
          <w:u w:val="none"/>
        </w:rPr>
        <w:t xml:space="preserve">  </w:t>
      </w:r>
      <w:r>
        <w:rPr>
          <w:rFonts w:hint="eastAsia" w:ascii="宋体" w:hAnsi="宋体"/>
          <w:b/>
          <w:color w:val="auto"/>
          <w:sz w:val="30"/>
          <w:szCs w:val="30"/>
          <w:u w:val="none"/>
          <w:lang w:val="zh-CN" w:eastAsia="zh-CN"/>
        </w:rPr>
        <mc:AlternateContent>
          <mc:Choice Requires="wps">
            <w:drawing>
              <wp:anchor distT="0" distB="0" distL="114300" distR="114300" simplePos="0" relativeHeight="251658240" behindDoc="0" locked="0" layoutInCell="1" allowOverlap="1">
                <wp:simplePos x="0" y="0"/>
                <wp:positionH relativeFrom="column">
                  <wp:posOffset>-106045</wp:posOffset>
                </wp:positionH>
                <wp:positionV relativeFrom="paragraph">
                  <wp:posOffset>264160</wp:posOffset>
                </wp:positionV>
                <wp:extent cx="5486400" cy="5080"/>
                <wp:effectExtent l="0" t="0" r="0" b="0"/>
                <wp:wrapNone/>
                <wp:docPr id="12" name="直线 6"/>
                <wp:cNvGraphicFramePr/>
                <a:graphic xmlns:a="http://schemas.openxmlformats.org/drawingml/2006/main">
                  <a:graphicData uri="http://schemas.microsoft.com/office/word/2010/wordprocessingShape">
                    <wps:wsp>
                      <wps:cNvCnPr/>
                      <wps:spPr>
                        <a:xfrm flipV="1">
                          <a:off x="0" y="0"/>
                          <a:ext cx="5486400" cy="5080"/>
                        </a:xfrm>
                        <a:prstGeom prst="line">
                          <a:avLst/>
                        </a:prstGeom>
                        <a:ln w="25400">
                          <a:noFill/>
                        </a:ln>
                        <a:effectLst/>
                      </wps:spPr>
                      <wps:bodyPr upright="1"/>
                    </wps:wsp>
                  </a:graphicData>
                </a:graphic>
              </wp:anchor>
            </w:drawing>
          </mc:Choice>
          <mc:Fallback>
            <w:pict>
              <v:line id="直线 6" o:spid="_x0000_s1026" o:spt="20" style="position:absolute;left:0pt;flip:y;margin-left:-8.35pt;margin-top:20.8pt;height:0.4pt;width:432pt;z-index:251658240;mso-width-relative:page;mso-height-relative:page;" filled="f" stroked="f" coordsize="21600,21600" o:gfxdata="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IkMnPbaAAAACQEAAA8AAAAAAAAAAQAgAAAAIgAAAGRycy9k&#10;b3ducmV2LnhtbFBLAQIUABQAAAAIAIdO4kAK08dHjgEAAP4CAAAOAAAAAAAAAAEAIAAAACkBAABk&#10;cnMvZTJvRG9jLnhtbFBLBQYAAAAABgAGAFkBAAApBQAAAAA=&#10;">
                <v:fill on="f" focussize="0,0"/>
                <v:stroke on="f" weight="2pt"/>
                <v:imagedata o:title=""/>
                <o:lock v:ext="edit" aspectratio="f"/>
              </v:line>
            </w:pict>
          </mc:Fallback>
        </mc:AlternateContent>
      </w:r>
      <w:r>
        <w:rPr>
          <w:rFonts w:hint="eastAsia" w:ascii="宋体" w:hAnsi="宋体" w:eastAsia="宋体"/>
          <w:color w:val="auto"/>
          <w:u w:val="none"/>
        </w:rPr>
        <w:t xml:space="preserve">                   </w:t>
      </w:r>
      <w:r>
        <w:rPr>
          <w:rFonts w:hint="eastAsia" w:ascii="宋体" w:hAnsi="宋体" w:eastAsia="宋体"/>
          <w:color w:val="auto"/>
          <w:sz w:val="36"/>
          <w:u w:val="none"/>
        </w:rPr>
        <w:t xml:space="preserve">  </w:t>
      </w:r>
    </w:p>
    <w:p>
      <w:pPr>
        <w:widowControl/>
        <w:spacing w:line="440" w:lineRule="exact"/>
        <w:jc w:val="center"/>
        <w:outlineLvl w:val="0"/>
        <w:rPr>
          <w:rFonts w:hint="eastAsia" w:ascii="宋体" w:hAnsi="宋体" w:cs="宋体"/>
          <w:b/>
          <w:color w:val="auto"/>
          <w:kern w:val="0"/>
          <w:sz w:val="36"/>
          <w:szCs w:val="36"/>
          <w:u w:val="none"/>
        </w:rPr>
      </w:pPr>
      <w:r>
        <w:rPr>
          <w:rFonts w:hint="eastAsia" w:ascii="宋体" w:hAnsi="宋体" w:cs="宋体"/>
          <w:b/>
          <w:color w:val="auto"/>
          <w:kern w:val="0"/>
          <w:sz w:val="36"/>
          <w:szCs w:val="36"/>
          <w:u w:val="none"/>
        </w:rPr>
        <w:t>关于印发《</w:t>
      </w:r>
      <w:r>
        <w:rPr>
          <w:rFonts w:hint="eastAsia" w:ascii="宋体" w:hAnsi="宋体" w:cs="宋体"/>
          <w:b/>
          <w:bCs/>
          <w:color w:val="auto"/>
          <w:kern w:val="36"/>
          <w:sz w:val="36"/>
          <w:szCs w:val="36"/>
          <w:u w:val="none"/>
        </w:rPr>
        <w:t>泉州师范学院</w:t>
      </w:r>
      <w:r>
        <w:rPr>
          <w:rFonts w:hint="eastAsia" w:ascii="宋体" w:hAnsi="宋体" w:cs="宋体"/>
          <w:b/>
          <w:bCs/>
          <w:color w:val="auto"/>
          <w:kern w:val="36"/>
          <w:sz w:val="36"/>
          <w:szCs w:val="36"/>
          <w:u w:val="none"/>
          <w:lang w:eastAsia="zh-CN"/>
        </w:rPr>
        <w:t>教师</w:t>
      </w:r>
      <w:r>
        <w:rPr>
          <w:rFonts w:hint="eastAsia" w:ascii="宋体" w:hAnsi="宋体" w:cs="宋体"/>
          <w:b/>
          <w:bCs/>
          <w:color w:val="auto"/>
          <w:kern w:val="36"/>
          <w:sz w:val="36"/>
          <w:szCs w:val="36"/>
          <w:u w:val="none"/>
        </w:rPr>
        <w:t>本科教学</w:t>
      </w:r>
      <w:r>
        <w:rPr>
          <w:rFonts w:hint="eastAsia" w:ascii="宋体" w:hAnsi="宋体" w:cs="宋体"/>
          <w:b/>
          <w:bCs/>
          <w:color w:val="auto"/>
          <w:kern w:val="36"/>
          <w:sz w:val="36"/>
          <w:szCs w:val="36"/>
          <w:u w:val="none"/>
          <w:lang w:eastAsia="zh-CN"/>
        </w:rPr>
        <w:t>工作规程</w:t>
      </w:r>
      <w:r>
        <w:rPr>
          <w:rFonts w:hint="eastAsia" w:ascii="宋体" w:hAnsi="宋体" w:cs="宋体"/>
          <w:b/>
          <w:color w:val="auto"/>
          <w:kern w:val="0"/>
          <w:sz w:val="36"/>
          <w:szCs w:val="36"/>
          <w:u w:val="none"/>
          <w:lang w:eastAsia="zh-CN"/>
        </w:rPr>
        <w:t>（修订）</w:t>
      </w:r>
      <w:r>
        <w:rPr>
          <w:rFonts w:hint="eastAsia" w:ascii="宋体" w:hAnsi="宋体" w:cs="宋体"/>
          <w:b/>
          <w:color w:val="auto"/>
          <w:kern w:val="0"/>
          <w:sz w:val="36"/>
          <w:szCs w:val="36"/>
          <w:u w:val="none"/>
        </w:rPr>
        <w:t>》的通知</w:t>
      </w:r>
    </w:p>
    <w:p>
      <w:pPr>
        <w:widowControl/>
        <w:shd w:val="clear" w:color="auto" w:fill="FFFFFF"/>
        <w:spacing w:line="620" w:lineRule="atLeast"/>
        <w:rPr>
          <w:rFonts w:hint="eastAsia" w:hAnsi="宋体" w:cs="宋体"/>
          <w:color w:val="auto"/>
          <w:kern w:val="0"/>
          <w:szCs w:val="32"/>
          <w:u w:val="none"/>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auto"/>
          <w:kern w:val="0"/>
          <w:sz w:val="32"/>
          <w:szCs w:val="32"/>
          <w:u w:val="none"/>
        </w:rPr>
      </w:pPr>
      <w:r>
        <w:rPr>
          <w:rFonts w:hint="eastAsia" w:ascii="仿宋" w:hAnsi="仿宋" w:eastAsia="仿宋" w:cs="仿宋"/>
          <w:color w:val="auto"/>
          <w:kern w:val="0"/>
          <w:sz w:val="32"/>
          <w:szCs w:val="32"/>
          <w:u w:val="none"/>
        </w:rPr>
        <w:t>各</w:t>
      </w:r>
      <w:r>
        <w:rPr>
          <w:rFonts w:hint="eastAsia" w:ascii="仿宋" w:hAnsi="仿宋" w:eastAsia="仿宋" w:cs="仿宋"/>
          <w:color w:val="auto"/>
          <w:kern w:val="0"/>
          <w:sz w:val="32"/>
          <w:szCs w:val="32"/>
          <w:u w:val="none"/>
          <w:lang w:eastAsia="zh-CN"/>
        </w:rPr>
        <w:t>学院、机关各部（处室）、各直属</w:t>
      </w:r>
      <w:r>
        <w:rPr>
          <w:rFonts w:hint="eastAsia" w:ascii="仿宋" w:hAnsi="仿宋" w:eastAsia="仿宋" w:cs="仿宋"/>
          <w:color w:val="auto"/>
          <w:kern w:val="0"/>
          <w:sz w:val="32"/>
          <w:szCs w:val="32"/>
          <w:u w:val="none"/>
        </w:rPr>
        <w:t>单位：</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u w:val="none"/>
        </w:rPr>
      </w:pPr>
      <w:r>
        <w:rPr>
          <w:rFonts w:hint="eastAsia" w:ascii="仿宋" w:hAnsi="仿宋" w:eastAsia="仿宋" w:cs="仿宋"/>
          <w:color w:val="auto"/>
          <w:kern w:val="0"/>
          <w:sz w:val="32"/>
          <w:szCs w:val="32"/>
          <w:u w:val="none"/>
        </w:rPr>
        <w:t>《泉州师范学院</w:t>
      </w:r>
      <w:r>
        <w:rPr>
          <w:rFonts w:hint="eastAsia" w:ascii="仿宋" w:hAnsi="仿宋" w:eastAsia="仿宋" w:cs="仿宋"/>
          <w:color w:val="auto"/>
          <w:kern w:val="0"/>
          <w:sz w:val="32"/>
          <w:szCs w:val="32"/>
          <w:u w:val="none"/>
          <w:lang w:eastAsia="zh-CN"/>
        </w:rPr>
        <w:t>教师</w:t>
      </w:r>
      <w:r>
        <w:rPr>
          <w:rFonts w:hint="eastAsia" w:ascii="仿宋" w:hAnsi="仿宋" w:eastAsia="仿宋" w:cs="仿宋"/>
          <w:color w:val="auto"/>
          <w:kern w:val="0"/>
          <w:sz w:val="32"/>
          <w:szCs w:val="32"/>
          <w:u w:val="none"/>
        </w:rPr>
        <w:t>本科教学</w:t>
      </w:r>
      <w:r>
        <w:rPr>
          <w:rFonts w:hint="eastAsia" w:ascii="仿宋" w:hAnsi="仿宋" w:eastAsia="仿宋" w:cs="仿宋"/>
          <w:color w:val="auto"/>
          <w:kern w:val="0"/>
          <w:sz w:val="32"/>
          <w:szCs w:val="32"/>
          <w:u w:val="none"/>
          <w:lang w:eastAsia="zh-CN"/>
        </w:rPr>
        <w:t>工作规程（修订）</w:t>
      </w:r>
      <w:r>
        <w:rPr>
          <w:rFonts w:hint="eastAsia" w:ascii="仿宋" w:hAnsi="仿宋" w:eastAsia="仿宋" w:cs="仿宋"/>
          <w:color w:val="auto"/>
          <w:kern w:val="0"/>
          <w:sz w:val="32"/>
          <w:szCs w:val="32"/>
          <w:u w:val="none"/>
        </w:rPr>
        <w:t>》经教学工作</w:t>
      </w:r>
      <w:r>
        <w:rPr>
          <w:rFonts w:hint="eastAsia" w:ascii="仿宋" w:hAnsi="仿宋" w:eastAsia="仿宋" w:cs="仿宋"/>
          <w:color w:val="auto"/>
          <w:kern w:val="0"/>
          <w:sz w:val="32"/>
          <w:szCs w:val="32"/>
          <w:u w:val="none"/>
          <w:lang w:eastAsia="zh-CN"/>
        </w:rPr>
        <w:t>指导</w:t>
      </w:r>
      <w:r>
        <w:rPr>
          <w:rFonts w:hint="eastAsia" w:ascii="仿宋" w:hAnsi="仿宋" w:eastAsia="仿宋" w:cs="仿宋"/>
          <w:color w:val="auto"/>
          <w:kern w:val="0"/>
          <w:sz w:val="32"/>
          <w:szCs w:val="32"/>
          <w:u w:val="none"/>
        </w:rPr>
        <w:t>委员会审议通过，现印发给你们，请认真遵照执行。</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auto"/>
          <w:kern w:val="0"/>
          <w:sz w:val="32"/>
          <w:szCs w:val="32"/>
          <w:u w:val="none"/>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u w:val="none"/>
        </w:rPr>
      </w:pPr>
      <w:r>
        <w:rPr>
          <w:rFonts w:hint="eastAsia" w:ascii="仿宋" w:hAnsi="仿宋" w:eastAsia="仿宋" w:cs="仿宋"/>
          <w:color w:val="auto"/>
          <w:kern w:val="0"/>
          <w:sz w:val="32"/>
          <w:szCs w:val="32"/>
          <w:u w:val="none"/>
        </w:rPr>
        <w:t>附件：泉州师范学院</w:t>
      </w:r>
      <w:r>
        <w:rPr>
          <w:rFonts w:hint="eastAsia" w:ascii="仿宋" w:hAnsi="仿宋" w:eastAsia="仿宋" w:cs="仿宋"/>
          <w:color w:val="auto"/>
          <w:kern w:val="0"/>
          <w:sz w:val="32"/>
          <w:szCs w:val="32"/>
          <w:u w:val="none"/>
          <w:lang w:eastAsia="zh-CN"/>
        </w:rPr>
        <w:t>教师</w:t>
      </w:r>
      <w:r>
        <w:rPr>
          <w:rFonts w:hint="eastAsia" w:ascii="仿宋" w:hAnsi="仿宋" w:eastAsia="仿宋" w:cs="仿宋"/>
          <w:color w:val="auto"/>
          <w:kern w:val="0"/>
          <w:sz w:val="32"/>
          <w:szCs w:val="32"/>
          <w:u w:val="none"/>
        </w:rPr>
        <w:t>本科教学</w:t>
      </w:r>
      <w:r>
        <w:rPr>
          <w:rFonts w:hint="eastAsia" w:ascii="仿宋" w:hAnsi="仿宋" w:eastAsia="仿宋" w:cs="仿宋"/>
          <w:color w:val="auto"/>
          <w:kern w:val="0"/>
          <w:sz w:val="32"/>
          <w:szCs w:val="32"/>
          <w:u w:val="none"/>
          <w:lang w:eastAsia="zh-CN"/>
        </w:rPr>
        <w:t>工作规程（修订）</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800" w:firstLineChars="250"/>
        <w:jc w:val="both"/>
        <w:textAlignment w:val="auto"/>
        <w:outlineLvl w:val="9"/>
        <w:rPr>
          <w:rFonts w:hint="eastAsia" w:ascii="仿宋" w:hAnsi="仿宋" w:eastAsia="仿宋" w:cs="仿宋"/>
          <w:color w:val="auto"/>
          <w:kern w:val="0"/>
          <w:sz w:val="32"/>
          <w:szCs w:val="32"/>
          <w:u w:val="none"/>
        </w:rPr>
      </w:pPr>
      <w:r>
        <w:rPr>
          <w:rFonts w:hint="eastAsia" w:ascii="仿宋" w:hAnsi="仿宋" w:eastAsia="仿宋" w:cs="仿宋"/>
          <w:color w:val="auto"/>
          <w:kern w:val="0"/>
          <w:sz w:val="32"/>
          <w:szCs w:val="32"/>
          <w:u w:val="none"/>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auto"/>
          <w:kern w:val="0"/>
          <w:sz w:val="32"/>
          <w:szCs w:val="32"/>
          <w:u w:val="none"/>
        </w:rPr>
      </w:pPr>
      <w:r>
        <w:rPr>
          <w:rFonts w:hint="eastAsia" w:ascii="仿宋" w:hAnsi="仿宋" w:eastAsia="仿宋" w:cs="仿宋"/>
          <w:color w:val="auto"/>
          <w:kern w:val="0"/>
          <w:sz w:val="32"/>
          <w:szCs w:val="32"/>
          <w:u w:val="none"/>
        </w:rPr>
        <w:t xml:space="preserve">                                  泉州师范学院</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auto"/>
          <w:kern w:val="0"/>
          <w:sz w:val="32"/>
          <w:szCs w:val="32"/>
          <w:u w:val="none"/>
        </w:rPr>
      </w:pPr>
      <w:r>
        <w:rPr>
          <w:rFonts w:hint="eastAsia" w:ascii="仿宋" w:hAnsi="仿宋" w:eastAsia="仿宋" w:cs="仿宋"/>
          <w:color w:val="auto"/>
          <w:kern w:val="0"/>
          <w:sz w:val="32"/>
          <w:szCs w:val="32"/>
          <w:u w:val="none"/>
        </w:rPr>
        <w:t xml:space="preserve">                                 201</w:t>
      </w:r>
      <w:r>
        <w:rPr>
          <w:rFonts w:hint="eastAsia" w:ascii="仿宋" w:hAnsi="仿宋" w:eastAsia="仿宋" w:cs="仿宋"/>
          <w:color w:val="auto"/>
          <w:kern w:val="0"/>
          <w:sz w:val="32"/>
          <w:szCs w:val="32"/>
          <w:u w:val="none"/>
          <w:lang w:val="en-US" w:eastAsia="zh-CN"/>
        </w:rPr>
        <w:t>7</w:t>
      </w:r>
      <w:r>
        <w:rPr>
          <w:rFonts w:hint="eastAsia" w:ascii="仿宋" w:hAnsi="仿宋" w:eastAsia="仿宋" w:cs="仿宋"/>
          <w:color w:val="auto"/>
          <w:kern w:val="0"/>
          <w:sz w:val="32"/>
          <w:szCs w:val="32"/>
          <w:u w:val="none"/>
        </w:rPr>
        <w:t>年</w:t>
      </w:r>
      <w:r>
        <w:rPr>
          <w:rFonts w:hint="eastAsia" w:ascii="仿宋" w:hAnsi="仿宋" w:eastAsia="仿宋" w:cs="仿宋"/>
          <w:color w:val="auto"/>
          <w:kern w:val="0"/>
          <w:sz w:val="32"/>
          <w:szCs w:val="32"/>
          <w:u w:val="none"/>
          <w:lang w:val="en-US" w:eastAsia="zh-CN"/>
        </w:rPr>
        <w:t>8</w:t>
      </w:r>
      <w:r>
        <w:rPr>
          <w:rFonts w:hint="eastAsia" w:ascii="仿宋" w:hAnsi="仿宋" w:eastAsia="仿宋" w:cs="仿宋"/>
          <w:color w:val="auto"/>
          <w:kern w:val="0"/>
          <w:sz w:val="32"/>
          <w:szCs w:val="32"/>
          <w:u w:val="none"/>
        </w:rPr>
        <w:t>月</w:t>
      </w:r>
      <w:r>
        <w:rPr>
          <w:rFonts w:hint="eastAsia" w:ascii="仿宋" w:hAnsi="仿宋" w:eastAsia="仿宋" w:cs="仿宋"/>
          <w:color w:val="auto"/>
          <w:kern w:val="0"/>
          <w:sz w:val="32"/>
          <w:szCs w:val="32"/>
          <w:u w:val="none"/>
          <w:lang w:val="en-US" w:eastAsia="zh-CN"/>
        </w:rPr>
        <w:t>30</w:t>
      </w:r>
      <w:r>
        <w:rPr>
          <w:rFonts w:hint="eastAsia" w:ascii="仿宋" w:hAnsi="仿宋" w:eastAsia="仿宋" w:cs="仿宋"/>
          <w:color w:val="auto"/>
          <w:kern w:val="0"/>
          <w:sz w:val="32"/>
          <w:szCs w:val="32"/>
          <w:u w:val="none"/>
        </w:rPr>
        <w:t>日</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auto"/>
          <w:kern w:val="0"/>
          <w:sz w:val="32"/>
          <w:szCs w:val="32"/>
          <w:u w:val="none"/>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 w:hAnsi="仿宋" w:eastAsia="仿宋" w:cs="仿宋"/>
          <w:color w:val="auto"/>
          <w:kern w:val="0"/>
          <w:sz w:val="32"/>
          <w:szCs w:val="32"/>
          <w:u w:val="none"/>
        </w:rPr>
      </w:pPr>
    </w:p>
    <w:tbl>
      <w:tblPr>
        <w:tblStyle w:val="10"/>
        <w:tblW w:w="8800" w:type="dxa"/>
        <w:jc w:val="center"/>
        <w:tblInd w:w="0" w:type="dxa"/>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8800"/>
      </w:tblGrid>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Ex>
        <w:trPr>
          <w:trHeight w:val="516" w:hRule="atLeast"/>
          <w:jc w:val="center"/>
        </w:trPr>
        <w:tc>
          <w:tcPr>
            <w:tcW w:w="8800"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color w:val="auto"/>
                <w:kern w:val="0"/>
                <w:sz w:val="32"/>
                <w:szCs w:val="32"/>
                <w:u w:val="none"/>
                <w:vertAlign w:val="baseline"/>
              </w:rPr>
            </w:pP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 xml:space="preserve">抄送：校领导，有关处室。                               </w:t>
            </w:r>
          </w:p>
        </w:tc>
      </w:tr>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Ex>
        <w:trPr>
          <w:trHeight w:val="520" w:hRule="atLeast"/>
          <w:jc w:val="center"/>
        </w:trPr>
        <w:tc>
          <w:tcPr>
            <w:tcW w:w="8800"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color w:val="auto"/>
                <w:kern w:val="0"/>
                <w:sz w:val="32"/>
                <w:szCs w:val="32"/>
                <w:u w:val="none"/>
                <w:vertAlign w:val="baseline"/>
              </w:rPr>
            </w:pP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泉州师范学院办公室           201</w:t>
            </w:r>
            <w:r>
              <w:rPr>
                <w:rFonts w:hint="eastAsia" w:ascii="仿宋" w:hAnsi="仿宋" w:eastAsia="仿宋" w:cs="仿宋"/>
                <w:color w:val="auto"/>
                <w:sz w:val="32"/>
                <w:szCs w:val="32"/>
                <w:u w:val="none"/>
                <w:lang w:val="en-US" w:eastAsia="zh-CN"/>
              </w:rPr>
              <w:t>7</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8</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30</w:t>
            </w:r>
            <w:r>
              <w:rPr>
                <w:rFonts w:hint="eastAsia" w:ascii="仿宋" w:hAnsi="仿宋" w:eastAsia="仿宋" w:cs="仿宋"/>
                <w:color w:val="auto"/>
                <w:sz w:val="32"/>
                <w:szCs w:val="32"/>
                <w:u w:val="none"/>
              </w:rPr>
              <w:t>日印发</w:t>
            </w:r>
          </w:p>
        </w:tc>
      </w:tr>
    </w:tbl>
    <w:p>
      <w:pPr>
        <w:rPr>
          <w:color w:val="auto"/>
          <w:u w:val="none"/>
        </w:rPr>
      </w:pPr>
    </w:p>
    <w:p>
      <w:pPr>
        <w:rPr>
          <w:color w:val="auto"/>
          <w:u w:val="none"/>
        </w:rPr>
        <w:sectPr>
          <w:pgSz w:w="11906" w:h="16838"/>
          <w:pgMar w:top="1417" w:right="1417" w:bottom="1417" w:left="1417" w:header="851" w:footer="992" w:gutter="0"/>
          <w:pgNumType w:start="1"/>
          <w:cols w:space="0" w:num="1"/>
          <w:rtlGutter w:val="0"/>
          <w:docGrid w:type="lines" w:linePitch="312" w:charSpace="0"/>
        </w:sectPr>
      </w:pPr>
    </w:p>
    <w:p>
      <w:pPr>
        <w:rPr>
          <w:color w:val="auto"/>
          <w:u w:val="none"/>
        </w:rPr>
      </w:pP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jc w:val="center"/>
        <w:textAlignment w:val="auto"/>
        <w:outlineLvl w:val="9"/>
        <w:rPr>
          <w:rStyle w:val="6"/>
          <w:rFonts w:hint="eastAsia" w:ascii="宋体" w:hAnsi="宋体" w:eastAsia="宋体" w:cs="宋体"/>
          <w:color w:val="auto"/>
          <w:sz w:val="32"/>
          <w:szCs w:val="32"/>
          <w:u w:val="none"/>
        </w:rPr>
      </w:pPr>
      <w:r>
        <w:rPr>
          <w:rStyle w:val="6"/>
          <w:rFonts w:hint="eastAsia" w:ascii="宋体" w:hAnsi="宋体" w:eastAsia="宋体" w:cs="宋体"/>
          <w:color w:val="auto"/>
          <w:sz w:val="32"/>
          <w:szCs w:val="32"/>
          <w:u w:val="none"/>
        </w:rPr>
        <w:t>泉州师范学院教师本科教学工作规程</w:t>
      </w:r>
      <w:r>
        <w:rPr>
          <w:rStyle w:val="6"/>
          <w:rFonts w:hint="eastAsia" w:ascii="宋体" w:hAnsi="宋体" w:eastAsia="宋体" w:cs="宋体"/>
          <w:color w:val="auto"/>
          <w:sz w:val="32"/>
          <w:szCs w:val="32"/>
          <w:u w:val="none"/>
          <w:lang w:eastAsia="zh-CN"/>
        </w:rPr>
        <w:t>（修订）</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为全面贯彻落实本科教学目标，加强本科教学基本规范建设，进一步明确教师在本科各个教学环节中的职责，不断提高本科人才培养质量，根据《中华人民共和国教育法》《中华人民共和国教师法》《中华人民共和国高等教育法》的相关要求，结合学校实际，制订本工作规程。</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jc w:val="center"/>
        <w:textAlignment w:val="auto"/>
        <w:outlineLvl w:val="9"/>
        <w:rPr>
          <w:rFonts w:hint="eastAsia" w:ascii="宋体" w:hAnsi="宋体" w:eastAsia="宋体" w:cs="宋体"/>
          <w:color w:val="auto"/>
          <w:sz w:val="24"/>
          <w:szCs w:val="24"/>
          <w:u w:val="none"/>
        </w:rPr>
      </w:pPr>
      <w:r>
        <w:rPr>
          <w:rFonts w:hint="eastAsia" w:ascii="宋体" w:hAnsi="宋体" w:eastAsia="宋体" w:cs="宋体"/>
          <w:b/>
          <w:bCs/>
          <w:color w:val="auto"/>
          <w:sz w:val="24"/>
          <w:szCs w:val="24"/>
          <w:u w:val="none"/>
        </w:rPr>
        <w:t>第一章  师德修养</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第一条热爱社会主义祖国，拥护中国共产党的领导；坚持正确的政治方向，贯彻党的教育方针，遵守国家法律、法规；遵守学校的各项规章制度和教学管理规定。</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第二条 坚持教书和育人相统一，坚持言传和身教相统一，坚持潜心问道和关注社会相统一，坚持学术自由和学术规范相统一，以德立身、以德立学、以德施教。努力成为先进思想文化的传播者、党执政的坚定支持者、社会主义核心价值观的践行者、学生健康成长的指导者和引路人。做有理想信念、有道德情操、有扎实知识、有仁爱之心的好老师。</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第三条</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热爱教育事业，积极承担本科教学任务，以对国家、对学校、对学生高度负责的态度履行教师职责；坚持以学生为中心，注重因材施教，培养学生的创新精神、激励学生的个性发展；致力于培养德、智、体、美全面发展，具有创新精神和实践能力的各行各业高素质人才。</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第四条</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为人师表，教书育人，具有高尚的职业道德，以优良的思想品格、言行举止对学生起示范作用；既要热情关心学生、了解学生、引导学生，又要对学生严格要求、严格管理、严格考核，促进和帮助学生知识、能力、素质的全面提高。</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jc w:val="center"/>
        <w:textAlignment w:val="auto"/>
        <w:outlineLvl w:val="9"/>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第二章     教师资格与任课</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第五条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新入职的教师，均应参加学校举办的岗前培训，学习党和国家的教育方针，学习高等教育的理论和方法，熟悉教师工作职责与教学管理方面的各项规章制度，为顺利开展教学科研等各项工作奠定基础。各二级学院必须为新聘教师指定1—2名副教授以上职称的教师作为其导师，指导其教学工作。</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第六条</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教师教学工作，包括课堂教学、实践（实验）教学、毕业论文（设计）指导，以及作业、辅导等日常教学工作的各个环节。此外，教师还应积极承担课程建设、教学改革等工作。</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第七条</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教学工作任务由教师所在二级学院下达，非特殊原因，教师应无条件接受并承担本科教学任务。</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第八条</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担任课程主讲教师者，一般应同时具备下列条件：</w:t>
      </w:r>
    </w:p>
    <w:p>
      <w:pPr>
        <w:pStyle w:val="4"/>
        <w:keepNext w:val="0"/>
        <w:keepLines w:val="0"/>
        <w:pageBreakBefore w:val="0"/>
        <w:widowControl/>
        <w:kinsoku/>
        <w:wordWrap/>
        <w:overflowPunct/>
        <w:topLinePunct w:val="0"/>
        <w:autoSpaceDE/>
        <w:autoSpaceDN/>
        <w:bidi w:val="0"/>
        <w:spacing w:beforeAutospacing="0" w:afterAutospacing="0" w:line="360" w:lineRule="exact"/>
        <w:ind w:left="90"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（一）取得高等学校教师资格，并通过学校组织的岗前培训，经考核合格。</w:t>
      </w:r>
    </w:p>
    <w:p>
      <w:pPr>
        <w:pStyle w:val="4"/>
        <w:keepNext w:val="0"/>
        <w:keepLines w:val="0"/>
        <w:pageBreakBefore w:val="0"/>
        <w:widowControl/>
        <w:kinsoku/>
        <w:wordWrap/>
        <w:overflowPunct/>
        <w:topLinePunct w:val="0"/>
        <w:autoSpaceDE/>
        <w:autoSpaceDN/>
        <w:bidi w:val="0"/>
        <w:spacing w:beforeAutospacing="0" w:afterAutospacing="0" w:line="360" w:lineRule="exact"/>
        <w:ind w:left="90"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（二）具备中级及以上职称或硕士以上学位，且有拟开课程的助教工作经历并表现良好。</w:t>
      </w:r>
    </w:p>
    <w:p>
      <w:pPr>
        <w:pStyle w:val="4"/>
        <w:keepNext w:val="0"/>
        <w:keepLines w:val="0"/>
        <w:pageBreakBefore w:val="0"/>
        <w:widowControl/>
        <w:kinsoku/>
        <w:wordWrap/>
        <w:overflowPunct/>
        <w:topLinePunct w:val="0"/>
        <w:autoSpaceDE/>
        <w:autoSpaceDN/>
        <w:bidi w:val="0"/>
        <w:spacing w:beforeAutospacing="0" w:afterAutospacing="0" w:line="360" w:lineRule="exact"/>
        <w:ind w:left="90"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三）熟悉拟开课程的教学大纲，全面掌握课程内容，明确教学重点、难点及其处理方法；能把握好主要教学环节，掌握所开课程的教学方法和教学手段；认真撰写教案或讲稿，且至少已完成三分之一；合理选用教材和教学参考书。 </w:t>
      </w:r>
    </w:p>
    <w:p>
      <w:pPr>
        <w:pStyle w:val="4"/>
        <w:keepNext w:val="0"/>
        <w:keepLines w:val="0"/>
        <w:pageBreakBefore w:val="0"/>
        <w:widowControl/>
        <w:kinsoku/>
        <w:wordWrap/>
        <w:overflowPunct/>
        <w:topLinePunct w:val="0"/>
        <w:autoSpaceDE/>
        <w:autoSpaceDN/>
        <w:bidi w:val="0"/>
        <w:spacing w:beforeAutospacing="0" w:afterAutospacing="0" w:line="360" w:lineRule="exact"/>
        <w:ind w:left="90"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（四）由各二级学院组织试讲，并经二级学院教学工作指导委员会或同行专家评议获准通过。</w:t>
      </w:r>
    </w:p>
    <w:p>
      <w:pPr>
        <w:pStyle w:val="4"/>
        <w:keepNext w:val="0"/>
        <w:keepLines w:val="0"/>
        <w:pageBreakBefore w:val="0"/>
        <w:widowControl/>
        <w:kinsoku/>
        <w:wordWrap/>
        <w:overflowPunct/>
        <w:topLinePunct w:val="0"/>
        <w:autoSpaceDE/>
        <w:autoSpaceDN/>
        <w:bidi w:val="0"/>
        <w:spacing w:beforeAutospacing="0" w:afterAutospacing="0" w:line="360" w:lineRule="exact"/>
        <w:ind w:left="90"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第九条</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凡属下列情况之一者，不应担任课程主讲教师：</w:t>
      </w:r>
    </w:p>
    <w:p>
      <w:pPr>
        <w:pStyle w:val="4"/>
        <w:keepNext w:val="0"/>
        <w:keepLines w:val="0"/>
        <w:pageBreakBefore w:val="0"/>
        <w:widowControl/>
        <w:kinsoku/>
        <w:wordWrap/>
        <w:overflowPunct/>
        <w:topLinePunct w:val="0"/>
        <w:autoSpaceDE/>
        <w:autoSpaceDN/>
        <w:bidi w:val="0"/>
        <w:spacing w:beforeAutospacing="0" w:afterAutospacing="0" w:line="360" w:lineRule="exact"/>
        <w:ind w:left="90"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（一）未取得教师资格证书；</w:t>
      </w:r>
    </w:p>
    <w:p>
      <w:pPr>
        <w:pStyle w:val="4"/>
        <w:keepNext w:val="0"/>
        <w:keepLines w:val="0"/>
        <w:pageBreakBefore w:val="0"/>
        <w:widowControl/>
        <w:kinsoku/>
        <w:wordWrap/>
        <w:overflowPunct/>
        <w:topLinePunct w:val="0"/>
        <w:autoSpaceDE/>
        <w:autoSpaceDN/>
        <w:bidi w:val="0"/>
        <w:spacing w:beforeAutospacing="0" w:afterAutospacing="0" w:line="360" w:lineRule="exact"/>
        <w:ind w:left="90"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（二）未经助教环节的训练或训练效果不佳，不具备讲课能力者；</w:t>
      </w:r>
    </w:p>
    <w:p>
      <w:pPr>
        <w:pStyle w:val="4"/>
        <w:keepNext w:val="0"/>
        <w:keepLines w:val="0"/>
        <w:pageBreakBefore w:val="0"/>
        <w:widowControl/>
        <w:kinsoku/>
        <w:wordWrap/>
        <w:overflowPunct/>
        <w:topLinePunct w:val="0"/>
        <w:autoSpaceDE/>
        <w:autoSpaceDN/>
        <w:bidi w:val="0"/>
        <w:spacing w:beforeAutospacing="0" w:afterAutospacing="0" w:line="360" w:lineRule="exact"/>
        <w:ind w:left="90"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（三）对实验内容较多的课程，不能开展指导实验或实验技能较差者；</w:t>
      </w:r>
    </w:p>
    <w:p>
      <w:pPr>
        <w:pStyle w:val="4"/>
        <w:keepNext w:val="0"/>
        <w:keepLines w:val="0"/>
        <w:pageBreakBefore w:val="0"/>
        <w:widowControl/>
        <w:kinsoku/>
        <w:wordWrap/>
        <w:overflowPunct/>
        <w:topLinePunct w:val="0"/>
        <w:autoSpaceDE/>
        <w:autoSpaceDN/>
        <w:bidi w:val="0"/>
        <w:spacing w:beforeAutospacing="0" w:afterAutospacing="0" w:line="360" w:lineRule="exact"/>
        <w:ind w:left="90"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（四）对已开课程以往讲授效果差又无切实改进者；</w:t>
      </w:r>
    </w:p>
    <w:p>
      <w:pPr>
        <w:pStyle w:val="4"/>
        <w:keepNext w:val="0"/>
        <w:keepLines w:val="0"/>
        <w:pageBreakBefore w:val="0"/>
        <w:widowControl/>
        <w:kinsoku/>
        <w:wordWrap/>
        <w:overflowPunct/>
        <w:topLinePunct w:val="0"/>
        <w:autoSpaceDE/>
        <w:autoSpaceDN/>
        <w:bidi w:val="0"/>
        <w:spacing w:beforeAutospacing="0" w:afterAutospacing="0" w:line="360" w:lineRule="exact"/>
        <w:ind w:left="90"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（五）对新开课程内容未能掌握，或未完成三分之一以上教案或讲稿者；</w:t>
      </w:r>
    </w:p>
    <w:p>
      <w:pPr>
        <w:pStyle w:val="4"/>
        <w:keepNext w:val="0"/>
        <w:keepLines w:val="0"/>
        <w:pageBreakBefore w:val="0"/>
        <w:widowControl/>
        <w:kinsoku/>
        <w:wordWrap/>
        <w:overflowPunct/>
        <w:topLinePunct w:val="0"/>
        <w:autoSpaceDE/>
        <w:autoSpaceDN/>
        <w:bidi w:val="0"/>
        <w:spacing w:beforeAutospacing="0" w:afterAutospacing="0" w:line="360" w:lineRule="exact"/>
        <w:ind w:left="90"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（六）教学工作不负责任，经批评教育仍不改正者。</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第十条  在读研究生兼任助教工作，须由个人申请，经导师推荐、二级学院批准后方可取得资格。一般应安排高年级研究生兼任助教工作，由专人对其进行指导，并按照助教工作要求对其进行考核。</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第十一条  对教学效果差、同行评议和学生满意率低的教师，二级学院应敦促其及时、切实有效地改进，否则应终止其授课，直至二级学院教学工作指导委员会或同行专家评议通过后方可续课。</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4"/>
          <w:u w:val="none"/>
          <w:lang w:val="en-US" w:eastAsia="zh-CN" w:bidi="ar-SA"/>
        </w:rPr>
        <w:t>第十二条  教授、副教授每年应至少承担两门本科生课程教学工作。</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第十三条 教师开设新课程，应符合以下条件并履行相关审批手续：</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（一）经论证，该课程对实现人才培养目标和完善学生的知识能力结构，确能起到应有的作用。</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（二）教师对该学科领域作过较系统的研究，发表过论文或交流材料，或曾外出系统地进修，积累了相当的有关教学资料。</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（三）已有教学大纲、教材或讲义以及教学参考资料。</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（四）已写出较详细的教案或讲授提纲。</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（五）开设新课的教师，应事先提交申请报告，经教研室（课程组）、专业（系）评议，二级学院（教学部）批准。 </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第十四条  未完全满足主讲教师资格条件的教师，如确因教学工作需要必须聘其为课程主讲教师时，应经组织试讲，并经二级学院教学工作指导委员会、党政联席会议审议通过，报教务处备案。外聘教师按《泉州师范学院外聘兼职教师管理办法（试行）》规定执行。</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jc w:val="center"/>
        <w:textAlignment w:val="auto"/>
        <w:outlineLvl w:val="9"/>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第三章     备课</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第十五条</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备课是教师教学的基础环节，是上好课的前提，任课教师必须对所授课程进行充分备课。</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第十六条  </w:t>
      </w:r>
      <w:r>
        <w:rPr>
          <w:rFonts w:hint="eastAsia" w:ascii="宋体" w:hAnsi="宋体" w:eastAsia="宋体" w:cs="宋体"/>
          <w:color w:val="auto"/>
          <w:kern w:val="2"/>
          <w:sz w:val="24"/>
          <w:szCs w:val="24"/>
          <w:u w:val="none"/>
        </w:rPr>
        <w:t>熟悉人才培养方案的基本理念，树立本科教学的全局观。</w:t>
      </w:r>
      <w:r>
        <w:rPr>
          <w:rFonts w:hint="eastAsia" w:ascii="宋体" w:hAnsi="宋体" w:eastAsia="宋体" w:cs="宋体"/>
          <w:color w:val="auto"/>
          <w:sz w:val="24"/>
          <w:szCs w:val="24"/>
          <w:u w:val="none"/>
        </w:rPr>
        <w:t>认真研究授课专业的具体教学计划和人才培养方案，明确本课程在培养方案和教学计划中的地位和作用，处理好本课程与先修课程、平行课程和后续课程之间的衔接。</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第十七条认真研究教学大纲，明确课程教学目标、内容范围和教学法要求。了解相关课程的教学大纲、学生的学习基础、接受能力和存在的问题，处理好课程衔接。精选教学内容，改进教学方法，因材施教。</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第十八条  精心制定教学方案。任课教师应在充分备课的基础上，编写教案或讲稿，</w:t>
      </w:r>
      <w:r>
        <w:rPr>
          <w:rFonts w:hint="eastAsia" w:ascii="宋体" w:hAnsi="宋体" w:eastAsia="宋体" w:cs="宋体"/>
          <w:color w:val="auto"/>
          <w:kern w:val="2"/>
          <w:sz w:val="24"/>
          <w:szCs w:val="24"/>
          <w:u w:val="none"/>
        </w:rPr>
        <w:t>制作好相关课件，合理运用多媒体技术，以取得良好的教学效果</w:t>
      </w:r>
      <w:r>
        <w:rPr>
          <w:rFonts w:hint="eastAsia" w:ascii="宋体" w:hAnsi="宋体" w:eastAsia="宋体" w:cs="宋体"/>
          <w:color w:val="auto"/>
          <w:sz w:val="24"/>
          <w:szCs w:val="24"/>
          <w:u w:val="none"/>
        </w:rPr>
        <w:t>；根据课程教学大纲的要求和学生的学习基础，结合本课程与相关学科的联系，合理组织教学内容、教学方法、考核方式等。教案应根据学科前沿的发展，适时更新。教师上课时必须有本次授课的教案或讲稿。</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第十九条  主讲教师应以教学大纲、校历为依据，编制教学日历（教学进度表），经教研室（教研组）或专业（系）主任签字批准，在开始上课的第一周内上交二级学院，并以一定的方式告知学生。任课教师必须严格按照规定的内容和进度组织教学。</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第二十条  每门课程均须选用教材或讲义。任课教师必须严格按照教学大纲所规定的内容选用教材和讲义，为学生指定与教材匹配的中、外文必读书目、辅助教学用书和参考资料；配备有利于融会贯通所学知识的练习题和思考题，以便学生课外学习。</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第二十一条 坚持集体备课，集思广益，取长补短，统一教学基本要求和进度，统一考试方式和内容，以求更好地发挥集体智慧和力量。教师在教学过程中，须经常检查自己的教学效果，参加教研室（课程组）组织的教研活动，虚心听取同行、专家、领导和学生对自己教学工作的意见和建议。</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第二十二条 所有用于教学的材料（包括大纲、教案、教材、课件、试卷、实验资源等）由二级学院收集整理后归档、留存。</w:t>
      </w:r>
    </w:p>
    <w:p>
      <w:pPr>
        <w:keepNext w:val="0"/>
        <w:keepLines w:val="0"/>
        <w:pageBreakBefore w:val="0"/>
        <w:kinsoku/>
        <w:wordWrap/>
        <w:overflowPunct/>
        <w:topLinePunct w:val="0"/>
        <w:autoSpaceDE/>
        <w:autoSpaceDN/>
        <w:bidi w:val="0"/>
        <w:spacing w:line="360" w:lineRule="exact"/>
        <w:ind w:right="0" w:rightChars="0" w:firstLine="480" w:firstLineChars="200"/>
        <w:textAlignment w:val="auto"/>
        <w:outlineLvl w:val="9"/>
        <w:rPr>
          <w:rFonts w:hint="eastAsia" w:ascii="宋体" w:hAnsi="宋体" w:eastAsia="宋体" w:cs="宋体"/>
          <w:color w:val="auto"/>
          <w:sz w:val="24"/>
          <w:szCs w:val="24"/>
          <w:u w:val="none"/>
        </w:rPr>
      </w:pP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jc w:val="center"/>
        <w:textAlignment w:val="auto"/>
        <w:outlineLvl w:val="9"/>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第四章     理论教学</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第二十三条   理论教学是指教师在课堂（广义上）进行的讲授，教师根据备课环节准备的教案实施教学。</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kern w:val="2"/>
          <w:sz w:val="24"/>
          <w:szCs w:val="24"/>
          <w:u w:val="none"/>
        </w:rPr>
      </w:pPr>
      <w:r>
        <w:rPr>
          <w:rFonts w:hint="eastAsia" w:ascii="宋体" w:hAnsi="宋体" w:eastAsia="宋体" w:cs="宋体"/>
          <w:color w:val="auto"/>
          <w:kern w:val="2"/>
          <w:sz w:val="24"/>
          <w:szCs w:val="24"/>
          <w:u w:val="none"/>
        </w:rPr>
        <w:t>第二十四条 每门课程的第一堂课，教师要以适当的方式自我介绍，以增进师生间的了解；简要介绍课程的教学计划和基本内容，提出课内外作业、实验、测验、期中和期末考试等项目在课程学习中的具体要求，各项目在课程总评成绩中所占的比例以及课程准考资格等的具体规定。</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kern w:val="2"/>
          <w:sz w:val="24"/>
          <w:szCs w:val="24"/>
          <w:u w:val="none"/>
        </w:rPr>
      </w:pPr>
      <w:r>
        <w:rPr>
          <w:rFonts w:hint="eastAsia" w:ascii="宋体" w:hAnsi="宋体" w:eastAsia="宋体" w:cs="宋体"/>
          <w:color w:val="auto"/>
          <w:kern w:val="2"/>
          <w:sz w:val="24"/>
          <w:szCs w:val="24"/>
          <w:u w:val="none"/>
        </w:rPr>
        <w:t>第二十五条  教师应按照教学日历的进度上课，不得随意变动。课堂讲授，既要确保科学的严密性，又要注意表达的生动性；上课应做到理论阐述准确、概念清晰、条理分明、论证严密、逻辑性强，语言清晰流畅；板书清楚规范；课堂时间计划使用，分配恰当；要灵活运用教学方法，激发学生的思维和创新精神，使知识融会贯通。要着重讲思路和概念的引入，讲理论和方法的形成与发展，突出重点、难点和疑点，启发学生积极思维，培养学生的科学思维和钻研精神。在保证达到教学基本要求的前提下，可根据需要适当介绍、评述不同的学术观点及本学科和相邻学科的新成果、新进展，以开阔学生视野，培养学生独立思考和辨别是非的能力。</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kern w:val="2"/>
          <w:sz w:val="24"/>
          <w:szCs w:val="24"/>
          <w:u w:val="none"/>
        </w:rPr>
      </w:pPr>
      <w:r>
        <w:rPr>
          <w:rFonts w:hint="eastAsia" w:ascii="宋体" w:hAnsi="宋体" w:eastAsia="宋体" w:cs="宋体"/>
          <w:color w:val="auto"/>
          <w:kern w:val="2"/>
          <w:sz w:val="24"/>
          <w:szCs w:val="24"/>
          <w:u w:val="none"/>
        </w:rPr>
        <w:t>第二十六条  要建立起师生互动的课堂氛围，充分调动学生学习的主观能动性，注重启发式、研讨式、探究式的教学方法，探索各种方法的特点并有效地加以组合。</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kern w:val="2"/>
          <w:sz w:val="24"/>
          <w:szCs w:val="24"/>
          <w:u w:val="none"/>
        </w:rPr>
      </w:pPr>
      <w:r>
        <w:rPr>
          <w:rFonts w:hint="eastAsia" w:ascii="宋体" w:hAnsi="宋体" w:eastAsia="宋体" w:cs="宋体"/>
          <w:color w:val="auto"/>
          <w:kern w:val="2"/>
          <w:sz w:val="24"/>
          <w:szCs w:val="24"/>
          <w:u w:val="none"/>
        </w:rPr>
        <w:t>第二十七条  维护好课堂秩序，检查、分析学生到课情况，引导和督促学生遵守课堂纪律，发现问题应及时处理，并于课后向学生所在二级学院反映。对于无故缺课三分之一以上的学生，可取消其课程考试资格。</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kern w:val="2"/>
          <w:sz w:val="24"/>
          <w:szCs w:val="24"/>
          <w:u w:val="none"/>
        </w:rPr>
      </w:pPr>
      <w:r>
        <w:rPr>
          <w:rFonts w:hint="eastAsia" w:ascii="宋体" w:hAnsi="宋体" w:eastAsia="宋体" w:cs="宋体"/>
          <w:color w:val="auto"/>
          <w:kern w:val="2"/>
          <w:sz w:val="24"/>
          <w:szCs w:val="24"/>
          <w:u w:val="none"/>
        </w:rPr>
        <w:t xml:space="preserve">第二十八条  课堂讨论要在充分准备的基础上进行，教师应事先拟好讨论提纲，安排好实施步骤。教师应发挥主导作用，把握好讨论的方向。既要引导学生理解、消化基本的教学内容，又要鼓励学生提出不同见解，特别是具有创新性的观点。注意培养学生的思辨能力，讨论结束后应做好小结。 </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kern w:val="2"/>
          <w:sz w:val="24"/>
          <w:szCs w:val="24"/>
          <w:u w:val="none"/>
        </w:rPr>
      </w:pPr>
      <w:r>
        <w:rPr>
          <w:rFonts w:hint="eastAsia" w:ascii="宋体" w:hAnsi="宋体" w:eastAsia="宋体" w:cs="宋体"/>
          <w:color w:val="auto"/>
          <w:kern w:val="2"/>
          <w:sz w:val="24"/>
          <w:szCs w:val="24"/>
          <w:u w:val="none"/>
        </w:rPr>
        <w:t>第二十九条 习题课是在教师指导下进行的课内练习。习题课应使学生掌握分析问题的方法，通过解剖典型例题，深入理解基本概念，增强解题运算能力。习题课要有明确的教学要求，选题要有典型性、综合性及广延性；要围绕训练解题能力、开阔思路、培养独立钻研精神等方面，充分调动学生的积极性和主动性，教师要发挥启发引导作用。</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kern w:val="2"/>
          <w:sz w:val="24"/>
          <w:szCs w:val="24"/>
          <w:u w:val="none"/>
        </w:rPr>
      </w:pPr>
      <w:r>
        <w:rPr>
          <w:rFonts w:hint="eastAsia" w:ascii="宋体" w:hAnsi="宋体" w:eastAsia="宋体" w:cs="宋体"/>
          <w:color w:val="auto"/>
          <w:kern w:val="2"/>
          <w:sz w:val="24"/>
          <w:szCs w:val="24"/>
          <w:u w:val="none"/>
        </w:rPr>
        <w:t>第三十条  条件成熟的课程要积极推进双语教学，要创造条件增加使用英语等外语进行教学的课程。</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kern w:val="2"/>
          <w:sz w:val="24"/>
          <w:szCs w:val="24"/>
          <w:u w:val="none"/>
        </w:rPr>
      </w:pPr>
      <w:r>
        <w:rPr>
          <w:rFonts w:hint="eastAsia" w:ascii="宋体" w:hAnsi="宋体" w:eastAsia="宋体" w:cs="宋体"/>
          <w:color w:val="auto"/>
          <w:kern w:val="2"/>
          <w:sz w:val="24"/>
          <w:szCs w:val="24"/>
          <w:u w:val="none"/>
        </w:rPr>
        <w:t>第三十一条  要重视教学效果信息反馈，及时听取学生对课程教学的意见、要求与建议，根据实际情况及时调整讲课进度，改进讲授方法，力求教与学两个方面协调一致，提高学生对课堂教学的满意率。</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kern w:val="2"/>
          <w:sz w:val="24"/>
          <w:szCs w:val="24"/>
          <w:u w:val="none"/>
        </w:rPr>
      </w:pPr>
      <w:r>
        <w:rPr>
          <w:rFonts w:hint="eastAsia" w:ascii="宋体" w:hAnsi="宋体" w:eastAsia="宋体" w:cs="宋体"/>
          <w:color w:val="auto"/>
          <w:kern w:val="2"/>
          <w:sz w:val="24"/>
          <w:szCs w:val="24"/>
          <w:u w:val="none"/>
        </w:rPr>
        <w:t>第三十二条  坚持教师互相听课、评课制度，不断提高课堂教学质量。</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kern w:val="2"/>
          <w:sz w:val="24"/>
          <w:szCs w:val="24"/>
          <w:u w:val="none"/>
        </w:rPr>
      </w:pP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jc w:val="center"/>
        <w:textAlignment w:val="auto"/>
        <w:outlineLvl w:val="9"/>
        <w:rPr>
          <w:rFonts w:hint="eastAsia" w:ascii="宋体" w:hAnsi="宋体" w:eastAsia="宋体" w:cs="宋体"/>
          <w:color w:val="auto"/>
          <w:sz w:val="24"/>
          <w:szCs w:val="24"/>
          <w:u w:val="none"/>
        </w:rPr>
      </w:pPr>
      <w:r>
        <w:rPr>
          <w:rStyle w:val="6"/>
          <w:rFonts w:hint="eastAsia" w:ascii="宋体" w:hAnsi="宋体" w:eastAsia="宋体" w:cs="宋体"/>
          <w:color w:val="auto"/>
          <w:sz w:val="24"/>
          <w:szCs w:val="24"/>
          <w:u w:val="none"/>
        </w:rPr>
        <w:t>第五章     教学辅导和作业</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第三十三条   教学辅导是教学活动的重要部分。教学辅导的目的是培养学生独立钻研、自我获取知识的能力和习惯，主要内容包括：指导学生制定学习计划，指导学生复习和预习教材、查阅文献资料和阅读参考书，指导学生妥善安排学习内容，合理利用业余时间，提高自学的学习效率，指导学生掌握独立学习的规律和科学学习的方法。</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第三十四条   教学辅导答疑可通过教师指定时间地点或利用网络等多种渠道方式，对学生提出较普遍的疑难问题进行解答，也可适时地利用课外时间集体辅导，但次数不宜太多。在个别或集体辅导中，既要热情帮助基础差的学生，又要注意培养和指导优秀学生的成长。教师要充分利用辅导答疑时间多接触学生，了解学生学习情况，征求对教学的意见。</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第三十五条   在辅导答疑时要着重帮助学生解决疑难问题，启发学生思考，改进学习方法，并注意发现和培养优秀人才；对基础较差、学习方法不当、学习有困难的学生，应予重点辅导帮助。</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第三十六条  助教主要承担课程的辅导、答疑、批改作业、辅导课、实习课、组织课堂讨论等教学工作，助教必须跟班听课，了解教学内容，学习讲课方法。助教要将辅导中存在的具有普遍性的问题向主讲教师汇报，使教学和辅导统一，保证教学质量。没有配备助教的课程，辅导答疑工作由主讲教师承担。</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第三十七条   作业是教师为了配合课堂讲授，让学生更好地消化、吸收和巩固所学知识，引导学生进一步思考并解决有关问题而布置的学习任务。教师应根据教学要求，布置适量作业（含思考题、讨论题），并确定作业的内容、次数及交作业的时间。</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第三十八条   批改作业是教师教学工作的一部分，教师应按时批改作业。批改作业应认真、仔细，具体指出优点与错误之处。应严格要求学生认真、独立完成作业，对不能按时完成作业的学生要批评教育；对潦草、马虎、不符合要求的作业，应退回重做。对作业中存在的普遍问题，教师要专门记录，并且向学生作进一步讲解或加强训练。</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第三十九条  对学生完成作业的数量、质量和测验要作书面记录，且作为对学生考核的依据之一，按一定比例计入课程总评成绩。如于课程考试前一周，学生无故缺交的作业累计达到作业总量的二分之一以上者，可取消参加该课程考试的资格。</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jc w:val="center"/>
        <w:textAlignment w:val="auto"/>
        <w:outlineLvl w:val="9"/>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第六章     实践教学</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第四十条  实践教学是培养学生理论联系实际、进行科学实验，培养学生观察分析现象、认识事物规律，提高实践动手能力和创新能力的重要教学手段，与理论教学具有同等重要的地位。实践教学包括实验课程、课程设计、各类教学实习、社会实践、毕业实习、学年论文（设计）、毕业论文（设计）等。</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第四十一条  实验教学包括课内实验和单独开设的实验课程，是理论联系实际、巩固所学理论知识、启发学生思维、训练学生动手能力、培养实验技能和科学研究能力，培养学生严谨科学态度和创新能力的重要教学环节。各二级学院依据专业人才培养方案组织拟定实验教学大纲和实验指导书。大纲应明确教学目的和要求、各单元要完成的实验任务和预期达到的实验效果、学生应掌握的技能、考核方式和编写实验提纲的要求。</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第四十二条  教师应严格按课程实验教学大纲的要求组织教学，不得随意减少实验项目或实验内容。任课教师必须认真做好实验准备工作，包括理论讲述和预备实验，检查实验仪器、设备性能，保证实验课顺利进行。</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第四十三条  指导实验课应严格要求、加强检查，巡视指导，学生未按规定课前预习不得做实验。学生实验操作前，教师应先行示教并简明、扼要地讲清实验的目的、内容、要求，仪器设备的性能、操作规程和注意事项等。在实验过程中，教师要对学生实验情况进行观察，随时纠正学生不正确的操作，解答出现的实验现象和疑难问题，注意培养学生严谨细致的科学态度和实事求是的工作作风以及正确使用各种仪器设备和观察、测量、记录、处理实验数据及分析实验结果、撰写实验报告的能力。课后应及时并认真批改实验报告，对内容、数据和格式等不符合教学要求的实验报告应退还学生，并令其重做。</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第四十四条   教师要重视实验教学内容和方法的改革，加强对学生创新思维和动手能力的培养，要积极开设一些综合型、设计型和创新型的实验，推进有针对性的实验课程分层次教学。</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第四十五条   实验课程结束后，应根据学生的平时实验操作技能、实验报告的质量以及考勤情况，综合评定学生实验课成绩；不单独设实验课的，应将实验部分按规定比例计入课程总成绩。</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第四十六条  教学实习包括课内实习、野外实习、生产实习、认知实习、毕业实习等。各类实习均要按照人才培养方案，明确实习主要目的，制定实习大纲。根据实习大纲要求，落实实习场所，制订实习具体计划，编写实习指导书。</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20"/>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第四十七条  所有教师均有义务承担教学实习的指导任务。指导教师要做好与实习单位的沟通联络工作，争取实习单位对工作的支持。要加强实习生的思想政治教育、安全教育和业务指导，做好实习前的各项准备工作。</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20"/>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第四十八条</w:t>
      </w: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b w:val="0"/>
          <w:bCs w:val="0"/>
          <w:color w:val="auto"/>
          <w:sz w:val="24"/>
          <w:szCs w:val="24"/>
          <w:u w:val="none"/>
        </w:rPr>
        <w:t>实习指导教师应按实习教学大纲的要求，认真指导学生完成规定的各项实习任务，不得随意取消或减少实习环节或内容。到实习现场直接指导学生，解答和处理实习中出现的疑难问题，审阅学生实习报告，解决学生在实习过程中遇到的问题，参加评议、考核学生实习成绩，并做好实习队的总结工作。如遇到重大问题，应及时向学生所在二级学院和学校主管部门报告。</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20"/>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第四十九条  学年论文（设计）是培养学生运用专业技术知识以及其他有关课程的理论知识与技能，初步训练学生获得分析和解决实际问题能力的教学实践训练环节。教师应按照教学计划和大纲，根据学年论文（设计）的要求，确定论文范围或设计题目，提前告知学生。</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20"/>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第五十条  教师要按照进程计划，检查学生学年论文（设计）进展情况，发现问题及时纠正，并评定学年论文（设计）的成绩。</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第五十一条   毕业论文（设计）是培养学生运用所学知识和技能，将发现问题、解决问题与学术规范、知识创新相结合的综合性实践教学环节；指导教师要根据专业培养目标，指导学生进行理论研究、社会调查或科学实验，使学生初步掌握科学研究的方法，一般包括开题、收集资料、调查研究、写作（设计）、修改和答辩等各环节；毕业论文（设计）的指导工作应由中级或中级以上职称的专业教师承担。</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第五十二条  毕业论文（设计）的选题要符合本专业的培养目标和教学要求，贯彻理论联系实际的原则，结合指导教师的研究方向，兼顾学生的实际能力和兴趣爱好。</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第五十三条  指导教师要在论文选题、文献阅读、实验设计、观察记录、数据处理、资料整理、论文撰写诸方面，切实加以指导，全面掌握学生毕业论文（设计）的进程。要特别注意培养学生严谨的科学态度，加强诚信教育，发现抄袭、代做等现象应及时予以严肃处理。</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第五十四条  学生完成初稿后，指导教师要认真指导学生修改；毕业论文（设计）完成后，要指导学生做好答辩准备，组织学生试讲，并根据学生的能力、态度、论文（设计）质量等撰写评语。</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第五十五条 毕业论文（设计）的教学组织实施、选题、指导、答辩等环节根据《泉州师范学院本科毕业论文（设计）工作管理规定》执行。</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jc w:val="center"/>
        <w:textAlignment w:val="auto"/>
        <w:outlineLvl w:val="9"/>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第七章     课程考核</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第五十六条  课程考核是评定学生对所学知识、理论、技能的理解掌握程度、应用能力和检查教师教学质量的重要手段，凡教学计划规定的每门课程结束后都应进行考核。</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第五十七条</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培养方案规定开设的课程都要编制考试大纲。课程考试大纲的内容、格式、编制和审批程序，按照《泉州师范学院关于编制课程考试大纲的实施意见（修订）》执行。</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第五十八条  课程考核分考试与考查两种，必须在规定的时间进行。课程考核的方式，可根据考试大纲的要求采用闭卷笔试、开卷（半开卷）笔试、课堂小论文、读书报告、文献综述、操作考试、口试、口笔试结合、网络考试、课程论文（设计）等方式。培养方案规定的主要课程考核一般采取闭卷笔试方式，考试时间一般为两小时。个别课程确因特殊情况需要增减考试时间的，须经二级学院分管领导批准，报教务处备案。</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第五十九条</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课程成绩主要依据平时作业、讨论、测验以及考勤等进行综合评定。在上报的成绩册中应分别有各项成绩及所占比例。凡有国家、省教育厅统考（或抽考）的课程，其最后成绩按统考（或抽考）成绩计算，平时、期中成绩不占比例。</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第五十九条  考试命题应以课程考试大纲为依据，注重考核学生基本知识、基本理论、基本技能的掌握及应用所学知识分析和解决问题的能力，注重考题对启发学生创新思维和培养学生创新能力的作用。试题覆盖面要尽可能大，难度和分量适度，并与限定考试时间相应匹配；题面表述要简明清楚、完整准确；能考出学生的水平，考出学生间的差别。试卷的深度、广度、难度、份量等均由课程所在教研室（课程组）负责把关，专业（系、教学部）审定。教师应做好考前辅导，但不得为了考试给学生划范围、圈重点，更不得以任何方式向学生泄露试卷内容。</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第六十条 同一教学大纲且统一进度的考试课程（同一课程号），原则上采用统一试卷和统一评分标准。采用笔试方式进行的课程均应在考试前一个月拟出难易份量相近的A、B两套试卷，经教研室（课程组）主任和二级学院分管院长审核后，任选一套为正考试卷，一套为补考卷。公共课程试卷的抽取由教务处指定专人负责，其他课程试卷的抽取由课程所在二级学院指定专人负责。</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第六十一条  课程考试的命题工作一般由教研室（课程组）组织，并尽可能建立试题库或试卷库，努力实现教考分离。试卷在考试之前要绝对保密，对以任何形式泄密的均要追查责任，并以教学事故处理。</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第六十二条  在满足教学大纲基本要求的前提下，鼓励教师结合课程实际对考核方式方法进行改革。</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第六十三条  考试日程、时间和地点的安排，由教务处和二级学院协同落实。任课教师和监考人员不得任意变更考试日程、时间和地点。</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第六十四条  教师应按照评分标准公正、科学地评阅试卷，综合评定的总成绩应客观、真实地反映学生对该课程的掌握程度和学习质量。一般情况下，考试成绩应符合正态分布规律。</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第六十五条  课程考试结束后，成绩评定、报送和录入、发布、汇总及存档等须按学校规定执行。</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jc w:val="center"/>
        <w:textAlignment w:val="auto"/>
        <w:outlineLvl w:val="9"/>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第八章     教学工作纪律</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第六十六条 教师不得在课堂教学及其它教学活动中散布违反四项基本原则、宪法和法律、背离社会主义核心价值观、有损国家利益、有悖社会公德、不利学生健康成长的错误言论。</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第六十七条  教师要坚守教学岗位，上课期间不得擅自离开教学现场。未经二级学院和教务处批准不得自行调课、停课、更换教师、更换教室等。</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第六十八条  教师因故要求调、停课或更换主讲教师，必须由教师本人至少提前一天携带相关证明办理审批手续，经教师所在二级学院审批，并报送教务处备案。填写调、停课申请单时，必须写清楚拟调、停课时间、次数及原因，停课须有补课时间。已获得批准的申请，二级学院教务科应尽快通知任课教师和上课学生。</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第六十九条  教师进入课堂要衣冠整洁，仪表端正，举止文明；必须按时上、下课，不得迟到、早退，不做与授课无关事宜。上课时间手机必须关机或设置在无声状态，不接打电话，</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第七十条  教师必须按课程教学日历授课，不得随意变更教学内容或任意增减课时。</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第七十一条  教师在承担教学任务时，必须严格执行学校的各项规章制度。凡诸如擅自停课、调课或私自请人代课，上课迟到，提前下课，监考不负责任，评卷随意给分，不按时录入成绩，考试成绩和考试质量分析报告逾期不交，未经批准擅自减少课程学时等，依据《泉州师范学院教学事故认定与处理办法》规定执行。</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jc w:val="center"/>
        <w:textAlignment w:val="auto"/>
        <w:outlineLvl w:val="9"/>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第九章     附　则</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第七十二条  本规程适用于全日制普通本科教学，未尽事宜由教务处负责解释。</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第七十三条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学校其他规定与本规程不一致的，以本规程为准。</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第七十四条  本规程自公布之日开始执行，原《泉州师范学院教师教学工作规程》</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泉师</w:t>
      </w:r>
      <w:r>
        <w:rPr>
          <w:rFonts w:hint="eastAsia" w:ascii="宋体" w:hAnsi="宋体" w:eastAsia="宋体" w:cs="宋体"/>
          <w:color w:val="auto"/>
          <w:sz w:val="24"/>
          <w:szCs w:val="24"/>
          <w:u w:val="none"/>
          <w:lang w:eastAsia="zh-CN"/>
        </w:rPr>
        <w:t>院</w:t>
      </w:r>
      <w:r>
        <w:rPr>
          <w:rFonts w:hint="eastAsia" w:ascii="宋体" w:hAnsi="宋体" w:eastAsia="宋体" w:cs="宋体"/>
          <w:color w:val="auto"/>
          <w:sz w:val="24"/>
          <w:szCs w:val="24"/>
          <w:u w:val="none"/>
        </w:rPr>
        <w:t>教〔201</w:t>
      </w: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36</w:t>
      </w:r>
      <w:r>
        <w:rPr>
          <w:rFonts w:hint="eastAsia" w:ascii="宋体" w:hAnsi="宋体" w:eastAsia="宋体" w:cs="宋体"/>
          <w:color w:val="auto"/>
          <w:sz w:val="24"/>
          <w:szCs w:val="24"/>
          <w:u w:val="none"/>
        </w:rPr>
        <w:t>号</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同时废止。</w:t>
      </w: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p>
    <w:p>
      <w:pPr>
        <w:pStyle w:val="4"/>
        <w:keepNext w:val="0"/>
        <w:keepLines w:val="0"/>
        <w:pageBreakBefore w:val="0"/>
        <w:widowControl/>
        <w:kinsoku/>
        <w:wordWrap/>
        <w:overflowPunct/>
        <w:topLinePunct w:val="0"/>
        <w:autoSpaceDE/>
        <w:autoSpaceDN/>
        <w:bidi w:val="0"/>
        <w:spacing w:beforeAutospacing="0" w:afterAutospacing="0" w:line="360" w:lineRule="exact"/>
        <w:ind w:right="0" w:rightChars="0" w:firstLine="645"/>
        <w:textAlignment w:val="auto"/>
        <w:outlineLvl w:val="9"/>
        <w:rPr>
          <w:rFonts w:hint="eastAsia" w:ascii="宋体" w:hAnsi="宋体" w:eastAsia="宋体" w:cs="宋体"/>
          <w:color w:val="auto"/>
          <w:sz w:val="24"/>
          <w:szCs w:val="24"/>
          <w:u w:val="none"/>
        </w:rPr>
      </w:pPr>
    </w:p>
    <w:p>
      <w:pPr>
        <w:keepNext w:val="0"/>
        <w:keepLines w:val="0"/>
        <w:pageBreakBefore w:val="0"/>
        <w:kinsoku/>
        <w:wordWrap/>
        <w:overflowPunct/>
        <w:topLinePunct w:val="0"/>
        <w:autoSpaceDE/>
        <w:autoSpaceDN/>
        <w:bidi w:val="0"/>
        <w:spacing w:line="360" w:lineRule="exact"/>
        <w:ind w:right="0" w:rightChars="0"/>
        <w:textAlignment w:val="auto"/>
        <w:outlineLvl w:val="9"/>
        <w:rPr>
          <w:rFonts w:hint="eastAsia" w:ascii="宋体" w:hAnsi="宋体" w:eastAsia="宋体" w:cs="宋体"/>
          <w:color w:val="auto"/>
          <w:sz w:val="24"/>
          <w:szCs w:val="24"/>
          <w:u w:val="none"/>
        </w:rPr>
      </w:pPr>
    </w:p>
    <w:sectPr>
      <w:footerReference r:id="rId3" w:type="default"/>
      <w:pgSz w:w="11906" w:h="16838"/>
      <w:pgMar w:top="1417" w:right="1417" w:bottom="1417" w:left="1417"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817077"/>
    <w:rsid w:val="002A1B91"/>
    <w:rsid w:val="00345C9D"/>
    <w:rsid w:val="005F4C9D"/>
    <w:rsid w:val="008F55F5"/>
    <w:rsid w:val="00A34E9E"/>
    <w:rsid w:val="00BA02DE"/>
    <w:rsid w:val="00FC33D6"/>
    <w:rsid w:val="016B01F1"/>
    <w:rsid w:val="01AA5DCE"/>
    <w:rsid w:val="01CB0C36"/>
    <w:rsid w:val="03187E9E"/>
    <w:rsid w:val="037F5377"/>
    <w:rsid w:val="03817077"/>
    <w:rsid w:val="065B4F08"/>
    <w:rsid w:val="07463834"/>
    <w:rsid w:val="07930C6C"/>
    <w:rsid w:val="07C35A12"/>
    <w:rsid w:val="0C8372AE"/>
    <w:rsid w:val="101438AA"/>
    <w:rsid w:val="140C433B"/>
    <w:rsid w:val="165A6459"/>
    <w:rsid w:val="16655063"/>
    <w:rsid w:val="168D1D45"/>
    <w:rsid w:val="184800C3"/>
    <w:rsid w:val="186815F0"/>
    <w:rsid w:val="18DE1761"/>
    <w:rsid w:val="196206DE"/>
    <w:rsid w:val="1A4C488D"/>
    <w:rsid w:val="1A614801"/>
    <w:rsid w:val="1A9D6AC9"/>
    <w:rsid w:val="1B6D6088"/>
    <w:rsid w:val="1BDE2B12"/>
    <w:rsid w:val="1C1041E2"/>
    <w:rsid w:val="1D03265B"/>
    <w:rsid w:val="1D5E4811"/>
    <w:rsid w:val="1DC71DA7"/>
    <w:rsid w:val="1E45078C"/>
    <w:rsid w:val="1EA942DA"/>
    <w:rsid w:val="1EDD3F76"/>
    <w:rsid w:val="1F5118C4"/>
    <w:rsid w:val="20204C0A"/>
    <w:rsid w:val="20EF294A"/>
    <w:rsid w:val="223117DC"/>
    <w:rsid w:val="22387084"/>
    <w:rsid w:val="22986D24"/>
    <w:rsid w:val="22F0429A"/>
    <w:rsid w:val="235919CC"/>
    <w:rsid w:val="23770301"/>
    <w:rsid w:val="254F1EC5"/>
    <w:rsid w:val="256D657A"/>
    <w:rsid w:val="25F73792"/>
    <w:rsid w:val="2A8A2A59"/>
    <w:rsid w:val="2BB42AB3"/>
    <w:rsid w:val="2BB45CFD"/>
    <w:rsid w:val="2C2E66BE"/>
    <w:rsid w:val="2D755C92"/>
    <w:rsid w:val="2DDA6E87"/>
    <w:rsid w:val="2DF90380"/>
    <w:rsid w:val="2F962CA3"/>
    <w:rsid w:val="33AD4F54"/>
    <w:rsid w:val="33D06688"/>
    <w:rsid w:val="34E04849"/>
    <w:rsid w:val="36EE24A4"/>
    <w:rsid w:val="38BB1E7B"/>
    <w:rsid w:val="3A2F2C67"/>
    <w:rsid w:val="3A363D53"/>
    <w:rsid w:val="3B0748C0"/>
    <w:rsid w:val="3B780783"/>
    <w:rsid w:val="3D4B2C4C"/>
    <w:rsid w:val="3D540479"/>
    <w:rsid w:val="3E8331E8"/>
    <w:rsid w:val="3E891756"/>
    <w:rsid w:val="3F985F7C"/>
    <w:rsid w:val="3FBA7572"/>
    <w:rsid w:val="3FCF0C09"/>
    <w:rsid w:val="412D7950"/>
    <w:rsid w:val="413E6BE7"/>
    <w:rsid w:val="416772A6"/>
    <w:rsid w:val="41DA2784"/>
    <w:rsid w:val="442C6A92"/>
    <w:rsid w:val="443367EA"/>
    <w:rsid w:val="44725CE6"/>
    <w:rsid w:val="45E617CE"/>
    <w:rsid w:val="46547534"/>
    <w:rsid w:val="46892641"/>
    <w:rsid w:val="47786C1A"/>
    <w:rsid w:val="47881208"/>
    <w:rsid w:val="48B32B2A"/>
    <w:rsid w:val="49375849"/>
    <w:rsid w:val="4B3A61CA"/>
    <w:rsid w:val="4CAF1302"/>
    <w:rsid w:val="4D1E608F"/>
    <w:rsid w:val="4DBD1F45"/>
    <w:rsid w:val="4DEC1E82"/>
    <w:rsid w:val="4DF46882"/>
    <w:rsid w:val="4FBE54E8"/>
    <w:rsid w:val="511C270C"/>
    <w:rsid w:val="51B63ED6"/>
    <w:rsid w:val="52C937A1"/>
    <w:rsid w:val="5318725A"/>
    <w:rsid w:val="53900619"/>
    <w:rsid w:val="54687E2D"/>
    <w:rsid w:val="55CC577C"/>
    <w:rsid w:val="56873206"/>
    <w:rsid w:val="568D7998"/>
    <w:rsid w:val="580F1B0C"/>
    <w:rsid w:val="58707F92"/>
    <w:rsid w:val="58862634"/>
    <w:rsid w:val="59817BB0"/>
    <w:rsid w:val="5A565148"/>
    <w:rsid w:val="5B103ED1"/>
    <w:rsid w:val="5B520492"/>
    <w:rsid w:val="5CBD040D"/>
    <w:rsid w:val="61732B7B"/>
    <w:rsid w:val="62413460"/>
    <w:rsid w:val="62503541"/>
    <w:rsid w:val="65620F8E"/>
    <w:rsid w:val="65B97134"/>
    <w:rsid w:val="66564F2E"/>
    <w:rsid w:val="669E4DA6"/>
    <w:rsid w:val="67C632F6"/>
    <w:rsid w:val="67F14E5A"/>
    <w:rsid w:val="6D2B765E"/>
    <w:rsid w:val="6E43463B"/>
    <w:rsid w:val="6EDF7356"/>
    <w:rsid w:val="724020ED"/>
    <w:rsid w:val="73A964E9"/>
    <w:rsid w:val="73C8173B"/>
    <w:rsid w:val="752C431E"/>
    <w:rsid w:val="75FB341C"/>
    <w:rsid w:val="76073C3E"/>
    <w:rsid w:val="76580027"/>
    <w:rsid w:val="76E05E04"/>
    <w:rsid w:val="7A36003F"/>
    <w:rsid w:val="7B31221F"/>
    <w:rsid w:val="7BC1633E"/>
    <w:rsid w:val="7C1A7B42"/>
    <w:rsid w:val="7C896793"/>
    <w:rsid w:val="7DFE56EF"/>
    <w:rsid w:val="7ED01A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ascii="微软雅黑" w:hAnsi="微软雅黑" w:eastAsia="微软雅黑" w:cs="Times New Roman"/>
      <w:color w:val="454545"/>
      <w:kern w:val="0"/>
      <w:sz w:val="24"/>
    </w:rPr>
  </w:style>
  <w:style w:type="character" w:styleId="6">
    <w:name w:val="Strong"/>
    <w:basedOn w:val="5"/>
    <w:qFormat/>
    <w:uiPriority w:val="0"/>
    <w:rPr>
      <w:b/>
    </w:rPr>
  </w:style>
  <w:style w:type="character" w:styleId="7">
    <w:name w:val="FollowedHyperlink"/>
    <w:basedOn w:val="5"/>
    <w:qFormat/>
    <w:uiPriority w:val="0"/>
    <w:rPr>
      <w:color w:val="454545"/>
      <w:u w:val="none"/>
    </w:rPr>
  </w:style>
  <w:style w:type="character" w:styleId="8">
    <w:name w:val="Hyperlink"/>
    <w:basedOn w:val="5"/>
    <w:qFormat/>
    <w:uiPriority w:val="0"/>
    <w:rPr>
      <w:color w:val="454545"/>
      <w:u w:val="non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item-name"/>
    <w:basedOn w:val="5"/>
    <w:qFormat/>
    <w:uiPriority w:val="0"/>
  </w:style>
  <w:style w:type="character" w:customStyle="1" w:styleId="12">
    <w:name w:val="item-name1"/>
    <w:basedOn w:val="5"/>
    <w:qFormat/>
    <w:uiPriority w:val="0"/>
  </w:style>
  <w:style w:type="character" w:customStyle="1" w:styleId="13">
    <w:name w:val="item-name2"/>
    <w:basedOn w:val="5"/>
    <w:qFormat/>
    <w:uiPriority w:val="0"/>
  </w:style>
  <w:style w:type="character" w:customStyle="1" w:styleId="14">
    <w:name w:val="item-name3"/>
    <w:basedOn w:val="5"/>
    <w:qFormat/>
    <w:uiPriority w:val="0"/>
  </w:style>
  <w:style w:type="character" w:customStyle="1" w:styleId="15">
    <w:name w:val="news_title"/>
    <w:basedOn w:val="5"/>
    <w:qFormat/>
    <w:uiPriority w:val="0"/>
  </w:style>
  <w:style w:type="character" w:customStyle="1" w:styleId="16">
    <w:name w:val="news_meta"/>
    <w:basedOn w:val="5"/>
    <w:qFormat/>
    <w:uiPriority w:val="0"/>
  </w:style>
  <w:style w:type="character" w:customStyle="1" w:styleId="17">
    <w:name w:val="column-name4"/>
    <w:basedOn w:val="5"/>
    <w:qFormat/>
    <w:uiPriority w:val="0"/>
    <w:rPr>
      <w:color w:val="FFFFFF"/>
    </w:rPr>
  </w:style>
  <w:style w:type="character" w:customStyle="1" w:styleId="18">
    <w:name w:val="column-name5"/>
    <w:basedOn w:val="5"/>
    <w:qFormat/>
    <w:uiPriority w:val="0"/>
    <w:rPr>
      <w:color w:val="124D83"/>
    </w:rPr>
  </w:style>
  <w:style w:type="character" w:customStyle="1" w:styleId="19">
    <w:name w:val="column-name6"/>
    <w:basedOn w:val="5"/>
    <w:qFormat/>
    <w:uiPriority w:val="0"/>
    <w:rPr>
      <w:color w:val="124D83"/>
    </w:rPr>
  </w:style>
  <w:style w:type="character" w:customStyle="1" w:styleId="20">
    <w:name w:val="column-name7"/>
    <w:basedOn w:val="5"/>
    <w:qFormat/>
    <w:uiPriority w:val="0"/>
    <w:rPr>
      <w:color w:val="124D83"/>
    </w:rPr>
  </w:style>
  <w:style w:type="character" w:customStyle="1" w:styleId="21">
    <w:name w:val="column-name8"/>
    <w:basedOn w:val="5"/>
    <w:qFormat/>
    <w:uiPriority w:val="0"/>
    <w:rPr>
      <w:color w:val="124D83"/>
    </w:rPr>
  </w:style>
  <w:style w:type="paragraph" w:customStyle="1" w:styleId="22">
    <w:name w:val="正文1"/>
    <w:basedOn w:val="1"/>
    <w:qFormat/>
    <w:uiPriority w:val="0"/>
    <w:pPr>
      <w:widowControl/>
      <w:shd w:val="clear" w:color="auto" w:fill="FFFFFF"/>
      <w:spacing w:after="24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1306</Words>
  <Characters>7448</Characters>
  <Lines>62</Lines>
  <Paragraphs>17</Paragraphs>
  <ScaleCrop>false</ScaleCrop>
  <LinksUpToDate>false</LinksUpToDate>
  <CharactersWithSpaces>8737</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2017-05-04T01:15:00Z</dcterms:created>
  <dc:creator>lenovo</dc:creator>
  <cp:lastModifiedBy>大大</cp:lastModifiedBy>
  <cp:lastPrinted>2017-11-17T07:40:00Z</cp:lastPrinted>
  <dcterms:modified xsi:type="dcterms:W3CDTF">2017-12-07T07:02:23Z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