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420"/>
        <w:jc w:val="center"/>
        <w:rPr>
          <w:b/>
          <w:sz w:val="32"/>
          <w:lang w:val="en-US"/>
        </w:rPr>
      </w:pPr>
      <w:bookmarkStart w:id="0" w:name="泉州师范学院虚拟仿真实验教学系统采购项目招标公告"/>
      <w:bookmarkEnd w:id="0"/>
      <w:r>
        <w:rPr>
          <w:b/>
          <w:sz w:val="32"/>
        </w:rPr>
        <w:t>泉州师范学院</w:t>
      </w:r>
      <w:r>
        <w:rPr>
          <w:rFonts w:hint="eastAsia"/>
          <w:b/>
          <w:sz w:val="32"/>
          <w:lang w:val="en-US"/>
        </w:rPr>
        <w:t>物理与信息工程学院关于</w:t>
      </w:r>
    </w:p>
    <w:p>
      <w:pPr>
        <w:pStyle w:val="2"/>
        <w:widowControl/>
        <w:shd w:val="clear" w:color="auto" w:fill="FFFFFF"/>
        <w:spacing w:beforeAutospacing="0" w:afterAutospacing="0" w:line="540" w:lineRule="atLeast"/>
        <w:jc w:val="center"/>
        <w:rPr>
          <w:rFonts w:hint="default"/>
          <w:sz w:val="32"/>
        </w:rPr>
      </w:pPr>
      <w:bookmarkStart w:id="2" w:name="_GoBack"/>
      <w:r>
        <w:rPr>
          <w:rFonts w:cs="宋体"/>
          <w:bCs w:val="0"/>
          <w:kern w:val="0"/>
          <w:sz w:val="32"/>
          <w:szCs w:val="22"/>
          <w:lang w:val="zh-CN" w:bidi="zh-CN"/>
        </w:rPr>
        <w:t>“光纤传感器实验模具”</w:t>
      </w:r>
      <w:r>
        <w:rPr>
          <w:sz w:val="32"/>
        </w:rPr>
        <w:t>采购项目招标公告</w:t>
      </w:r>
      <w:bookmarkEnd w:id="2"/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物理与信息工程学院</w:t>
      </w:r>
      <w:bookmarkStart w:id="1" w:name="_Hlk91496299"/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关于“光纤传感器实验模具”等设备</w:t>
      </w:r>
      <w:bookmarkEnd w:id="1"/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组织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询价采购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，现欢迎国内合格的供应商前来参加或者提交密封的投标文件。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项目名称：光纤传感器实验模具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项目概况：</w:t>
      </w:r>
    </w:p>
    <w:p>
      <w:pPr>
        <w:pStyle w:val="13"/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1.下底板尺寸</w:t>
      </w:r>
    </w:p>
    <w:p>
      <w:pPr>
        <w:pStyle w:val="13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下底板为中心对称结构，5个圆形和矩形合并的槽，其中圆形直径7.1mm，深度1.5mm；矩形宽度3mm，长度4cm,深度0.4mm，光纤线槽宽度1mm，，深度0.6mm，边角需要有光纤2mm的套管槽，需要有15mm长，宽2mm，深1mm的圆弧型过渡槽。</w:t>
      </w:r>
    </w:p>
    <w:p>
      <w:pPr>
        <w:pStyle w:val="13"/>
        <w:numPr>
          <w:ilvl w:val="0"/>
          <w:numId w:val="2"/>
        </w:num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上盖板尺寸</w:t>
      </w:r>
    </w:p>
    <w:p>
      <w:pPr>
        <w:pStyle w:val="13"/>
        <w:ind w:left="42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整体尺寸和下底板一样，有5个圆柱形凸对应下底板5个槽，圆柱中心对应下底板圆形槽中心位置，相对应下底板出线的地方有两个套管槽；长15mm，宽2mm，深1mm，位置和上盖板相对应，圆形凸起部分，直径为7mm。分别做三种厚度：0.70-1.00可调。</w:t>
      </w:r>
    </w:p>
    <w:p>
      <w:pPr>
        <w:pStyle w:val="13"/>
        <w:numPr>
          <w:ilvl w:val="0"/>
          <w:numId w:val="2"/>
        </w:numPr>
        <w:ind w:left="42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主要技术参数及规格</w:t>
      </w:r>
    </w:p>
    <w:tbl>
      <w:tblPr>
        <w:tblStyle w:val="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413"/>
        <w:gridCol w:w="636"/>
        <w:gridCol w:w="1098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/>
                <w:color w:val="000000"/>
                <w:sz w:val="29"/>
                <w:szCs w:val="29"/>
              </w:rPr>
              <w:t>序号</w:t>
            </w:r>
          </w:p>
        </w:tc>
        <w:tc>
          <w:tcPr>
            <w:tcW w:w="5413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/>
                <w:color w:val="000000"/>
                <w:sz w:val="29"/>
                <w:szCs w:val="29"/>
              </w:rPr>
              <w:t>主要技术参数及规格</w:t>
            </w:r>
          </w:p>
        </w:tc>
        <w:tc>
          <w:tcPr>
            <w:tcW w:w="636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/>
                <w:color w:val="000000"/>
                <w:sz w:val="29"/>
                <w:szCs w:val="29"/>
              </w:rPr>
              <w:t>数量</w:t>
            </w:r>
          </w:p>
        </w:tc>
        <w:tc>
          <w:tcPr>
            <w:tcW w:w="1098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/>
                <w:color w:val="000000"/>
                <w:sz w:val="29"/>
                <w:szCs w:val="29"/>
              </w:rPr>
              <w:t>单价（元）</w:t>
            </w:r>
          </w:p>
        </w:tc>
        <w:tc>
          <w:tcPr>
            <w:tcW w:w="1086" w:type="dxa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333333"/>
                <w:sz w:val="28"/>
                <w:szCs w:val="28"/>
              </w:rPr>
            </w:pPr>
            <w:r>
              <w:rPr>
                <w:rFonts w:hint="eastAsia"/>
                <w:color w:val="000000"/>
                <w:sz w:val="29"/>
                <w:szCs w:val="29"/>
              </w:rPr>
              <w:t>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413" w:type="dxa"/>
          </w:tcPr>
          <w:p>
            <w:pPr>
              <w:snapToGrid w:val="0"/>
              <w:jc w:val="both"/>
              <w:rPr>
                <w:rFonts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  <w:t>上盖板材料：718H   质保寿命：30万模次（凸起高度部分可调节）</w:t>
            </w:r>
          </w:p>
        </w:tc>
        <w:tc>
          <w:tcPr>
            <w:tcW w:w="636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98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24000</w:t>
            </w:r>
          </w:p>
        </w:tc>
        <w:tc>
          <w:tcPr>
            <w:tcW w:w="1086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413" w:type="dxa"/>
          </w:tcPr>
          <w:p>
            <w:pPr>
              <w:snapToGrid w:val="0"/>
              <w:jc w:val="both"/>
              <w:rPr>
                <w:rFonts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  <w:lang w:val="en-US" w:bidi="ar-SA"/>
              </w:rPr>
              <w:t>下底板材料：718H   质保寿命：30万模次</w:t>
            </w:r>
          </w:p>
        </w:tc>
        <w:tc>
          <w:tcPr>
            <w:tcW w:w="636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98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24000</w:t>
            </w:r>
          </w:p>
        </w:tc>
        <w:tc>
          <w:tcPr>
            <w:tcW w:w="1086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147" w:type="dxa"/>
            <w:gridSpan w:val="3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小计</w:t>
            </w:r>
          </w:p>
        </w:tc>
        <w:tc>
          <w:tcPr>
            <w:tcW w:w="1086" w:type="dxa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shd w:val="clear" w:color="auto" w:fill="FFFFFF"/>
              </w:rPr>
              <w:t>48000</w:t>
            </w:r>
          </w:p>
        </w:tc>
      </w:tr>
    </w:tbl>
    <w:p>
      <w:pPr>
        <w:widowControl/>
        <w:autoSpaceDE/>
        <w:autoSpaceDN/>
        <w:ind w:firstLine="555"/>
        <w:rPr>
          <w:rFonts w:ascii="微软雅黑" w:hAnsi="微软雅黑" w:eastAsia="微软雅黑"/>
          <w:color w:val="000000"/>
          <w:sz w:val="21"/>
          <w:szCs w:val="21"/>
          <w:lang w:val="en-US" w:bidi="ar-SA"/>
        </w:rPr>
      </w:pPr>
      <w:r>
        <w:rPr>
          <w:rFonts w:hint="eastAsia"/>
          <w:color w:val="000000"/>
          <w:sz w:val="29"/>
          <w:szCs w:val="29"/>
          <w:lang w:val="en-US" w:bidi="ar-SA"/>
        </w:rPr>
        <w:t>注：1.项目价款包含安装费、发票费等相关费用。</w:t>
      </w:r>
    </w:p>
    <w:p>
      <w:pPr>
        <w:widowControl/>
        <w:shd w:val="clear" w:color="auto" w:fill="FFFFFF"/>
        <w:autoSpaceDE/>
        <w:autoSpaceDN/>
        <w:spacing w:line="555" w:lineRule="atLeast"/>
        <w:ind w:right="1200" w:firstLine="840"/>
        <w:rPr>
          <w:rFonts w:ascii="微软雅黑" w:hAnsi="微软雅黑" w:eastAsia="微软雅黑"/>
          <w:color w:val="000000"/>
          <w:sz w:val="21"/>
          <w:szCs w:val="21"/>
          <w:lang w:val="en-US" w:bidi="ar-SA"/>
        </w:rPr>
      </w:pPr>
      <w:r>
        <w:rPr>
          <w:rFonts w:hint="eastAsia"/>
          <w:color w:val="000000"/>
          <w:sz w:val="29"/>
          <w:szCs w:val="29"/>
          <w:lang w:val="en-US" w:bidi="ar-SA"/>
        </w:rPr>
        <w:t> 2.需说明能提供的售后服务期限及内容。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招标公告时间：</w:t>
      </w:r>
    </w:p>
    <w:p>
      <w:pPr>
        <w:pStyle w:val="6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2022年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7</w:t>
      </w:r>
      <w:r>
        <w:rPr>
          <w:rFonts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8</w:t>
      </w:r>
      <w:r>
        <w:rPr>
          <w:rFonts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日至2022年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7</w:t>
      </w:r>
      <w:r>
        <w:rPr>
          <w:rFonts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1</w:t>
      </w:r>
      <w:r>
        <w:rPr>
          <w:rFonts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2日（上午8:30～12:00，下午14:30～17:00）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。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凡有意参加的供应商可按下述地址递交投标文件。逾期收到的或不符合规定的投标文件将被拒绝。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投标文件递交地址：泉州师范学院物理与信息工程学院</w:t>
      </w:r>
      <w:r>
        <w:rPr>
          <w:rFonts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办公室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供应商的资格要求：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beforeAutospacing="0" w:afterAutospacing="0"/>
        <w:ind w:left="440" w:left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符合《中华人民共和国政府采购法》第二十二条和符合中华人民共和国国务院令第658号《中华人民共和国政府采购法实施条例》第十九条第二款规定条件</w:t>
      </w:r>
      <w:r>
        <w:rPr>
          <w:rStyle w:val="10"/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。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beforeAutospacing="0" w:afterAutospacing="0"/>
        <w:ind w:left="440" w:left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供应商不得被列入财政部政府采购严重违法失信行为记录名单、不得被人民法院列入生效的失信被执行人名单、不得被列入重大税收违法案件当事人名单。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beforeAutospacing="0" w:afterAutospacing="0"/>
        <w:ind w:left="440" w:left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供应商应具有本次招标货物或服务的经营范围：所投的货物或服务必须全部在供应商营业执照允许经营的范围内，供应商须提供营业执照复印件。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beforeAutospacing="0" w:afterAutospacing="0"/>
        <w:ind w:left="440" w:left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本项目不接受联合体投标。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beforeAutospacing="0" w:afterAutospacing="0"/>
        <w:ind w:left="440" w:left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本次采购项目的预算审核价为人民币</w:t>
      </w:r>
      <w:r>
        <w:rPr>
          <w:rStyle w:val="10"/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肆万捌仟元</w:t>
      </w:r>
      <w:r>
        <w:rPr>
          <w:rStyle w:val="10"/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整（￥</w:t>
      </w:r>
      <w:r>
        <w:rPr>
          <w:rStyle w:val="10"/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48000</w:t>
      </w:r>
      <w:r>
        <w:rPr>
          <w:rStyle w:val="10"/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.00）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，超过预算审核价的投标为无效投标。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beforeAutospacing="0" w:afterAutospacing="0"/>
        <w:ind w:left="440" w:leftChars="20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  <w:shd w:val="clear" w:color="auto" w:fill="FFFFFF"/>
        </w:rPr>
        <w:t>交货时间：合同签订后</w:t>
      </w:r>
      <w:r>
        <w:rPr>
          <w:rFonts w:hint="eastAsia" w:asciiTheme="minorEastAsia" w:hAnsiTheme="minorEastAsia" w:eastAsiaTheme="minorEastAsia"/>
          <w:sz w:val="28"/>
          <w:szCs w:val="28"/>
          <w:shd w:val="clear" w:color="auto" w:fill="FFFFFF"/>
        </w:rPr>
        <w:t>4周</w:t>
      </w:r>
      <w:r>
        <w:rPr>
          <w:rFonts w:asciiTheme="minorEastAsia" w:hAnsiTheme="minorEastAsia" w:eastAsiaTheme="minorEastAsia"/>
          <w:sz w:val="28"/>
          <w:szCs w:val="28"/>
          <w:shd w:val="clear" w:color="auto" w:fill="FFFFFF"/>
        </w:rPr>
        <w:t>内交货。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  <w:shd w:val="clear" w:color="auto" w:fill="FFFFFF"/>
        </w:rPr>
        <w:t>谈判时间及地点：另行通知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  <w:shd w:val="clear" w:color="auto" w:fill="FFFFFF"/>
        </w:rPr>
        <w:t>项目联系人：</w:t>
      </w:r>
      <w:r>
        <w:rPr>
          <w:rFonts w:hint="eastAsia" w:asciiTheme="minorEastAsia" w:hAnsiTheme="minorEastAsia" w:eastAsiaTheme="minorEastAsia"/>
          <w:sz w:val="28"/>
          <w:szCs w:val="28"/>
          <w:shd w:val="clear" w:color="auto" w:fill="FFFFFF"/>
        </w:rPr>
        <w:t>陈智浩</w:t>
      </w:r>
    </w:p>
    <w:p>
      <w:pPr>
        <w:pStyle w:val="6"/>
        <w:widowControl/>
        <w:shd w:val="clear" w:color="auto" w:fill="FFFFFF"/>
        <w:spacing w:beforeAutospacing="0" w:afterAutospacing="0"/>
        <w:ind w:firstLine="384"/>
        <w:jc w:val="both"/>
        <w:rPr>
          <w:rFonts w:asciiTheme="minorEastAsia" w:hAnsiTheme="minorEastAsia" w:eastAsia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eastAsiaTheme="minorEastAsia"/>
          <w:sz w:val="28"/>
          <w:szCs w:val="28"/>
          <w:shd w:val="clear" w:color="auto" w:fill="FFFFFF"/>
        </w:rPr>
        <w:t>联系电话：1</w:t>
      </w:r>
      <w:r>
        <w:rPr>
          <w:rFonts w:hint="eastAsia" w:asciiTheme="minorEastAsia" w:hAnsiTheme="minorEastAsia" w:eastAsiaTheme="minorEastAsia"/>
          <w:sz w:val="28"/>
          <w:szCs w:val="28"/>
          <w:shd w:val="clear" w:color="auto" w:fill="FFFFFF"/>
        </w:rPr>
        <w:t>5260777551</w:t>
      </w:r>
    </w:p>
    <w:p>
      <w:pPr>
        <w:pStyle w:val="6"/>
        <w:widowControl/>
        <w:shd w:val="clear" w:color="auto" w:fill="FFFFFF"/>
        <w:spacing w:beforeAutospacing="0" w:afterAutospacing="0"/>
        <w:ind w:firstLine="384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联系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地址：泉州师范学院物理与信息工程学院</w:t>
      </w:r>
      <w:r>
        <w:rPr>
          <w:rFonts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办公室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Autospacing="0" w:afterAutospacing="0"/>
        <w:ind w:firstLine="384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邮编：362000</w:t>
      </w: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八</w:t>
      </w:r>
      <w:r>
        <w:rPr>
          <w:rFonts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、项目监督电话：0595-22917084。</w:t>
      </w:r>
    </w:p>
    <w:p>
      <w:pPr>
        <w:pStyle w:val="3"/>
        <w:jc w:val="both"/>
        <w:rPr>
          <w:rFonts w:asciiTheme="minorEastAsia" w:hAnsiTheme="minorEastAsia" w:eastAsiaTheme="minorEastAsia"/>
          <w:sz w:val="28"/>
          <w:szCs w:val="28"/>
        </w:rPr>
      </w:pPr>
    </w:p>
    <w:sectPr>
      <w:pgSz w:w="11910" w:h="16840"/>
      <w:pgMar w:top="14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A4372"/>
    <w:multiLevelType w:val="multilevel"/>
    <w:tmpl w:val="018A437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  <w:color w:val="00000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B46907"/>
    <w:multiLevelType w:val="multilevel"/>
    <w:tmpl w:val="41B46907"/>
    <w:lvl w:ilvl="0" w:tentative="0">
      <w:start w:val="1"/>
      <w:numFmt w:val="decimal"/>
      <w:lvlText w:val="%1.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69CE20FE"/>
    <w:multiLevelType w:val="singleLevel"/>
    <w:tmpl w:val="69CE20F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4NmFmNzkzMWExMTE2ZGJjYmU1OGNlZTRlOGZhOTEifQ=="/>
  </w:docVars>
  <w:rsids>
    <w:rsidRoot w:val="00063003"/>
    <w:rsid w:val="00045F90"/>
    <w:rsid w:val="00063003"/>
    <w:rsid w:val="000C6EEF"/>
    <w:rsid w:val="0010669C"/>
    <w:rsid w:val="00110A0F"/>
    <w:rsid w:val="00140C49"/>
    <w:rsid w:val="00325474"/>
    <w:rsid w:val="003F756D"/>
    <w:rsid w:val="00407F67"/>
    <w:rsid w:val="00492BCF"/>
    <w:rsid w:val="00537F86"/>
    <w:rsid w:val="005548A2"/>
    <w:rsid w:val="00567BA1"/>
    <w:rsid w:val="005B1A14"/>
    <w:rsid w:val="00650493"/>
    <w:rsid w:val="006B520D"/>
    <w:rsid w:val="006D6A4D"/>
    <w:rsid w:val="006E35C7"/>
    <w:rsid w:val="00816300"/>
    <w:rsid w:val="008365D5"/>
    <w:rsid w:val="00871D0F"/>
    <w:rsid w:val="00895A38"/>
    <w:rsid w:val="008B7517"/>
    <w:rsid w:val="008D6BF4"/>
    <w:rsid w:val="009E0929"/>
    <w:rsid w:val="009E3C89"/>
    <w:rsid w:val="00AB2EA8"/>
    <w:rsid w:val="00B25BDB"/>
    <w:rsid w:val="00C36358"/>
    <w:rsid w:val="00CB341A"/>
    <w:rsid w:val="00D76D88"/>
    <w:rsid w:val="00E351F6"/>
    <w:rsid w:val="00EA1B21"/>
    <w:rsid w:val="00ED18F6"/>
    <w:rsid w:val="00FC0407"/>
    <w:rsid w:val="01A2400A"/>
    <w:rsid w:val="02BA5277"/>
    <w:rsid w:val="02EA3426"/>
    <w:rsid w:val="067A10A1"/>
    <w:rsid w:val="09DB54AE"/>
    <w:rsid w:val="0D7A30C1"/>
    <w:rsid w:val="14FF71A0"/>
    <w:rsid w:val="180843A0"/>
    <w:rsid w:val="1A335EA7"/>
    <w:rsid w:val="1AAB40BB"/>
    <w:rsid w:val="1F661E01"/>
    <w:rsid w:val="24420FE6"/>
    <w:rsid w:val="2CDE5552"/>
    <w:rsid w:val="30FA6F96"/>
    <w:rsid w:val="316A5D11"/>
    <w:rsid w:val="35080623"/>
    <w:rsid w:val="35AF36B9"/>
    <w:rsid w:val="3A6C2B8F"/>
    <w:rsid w:val="3E2F56FE"/>
    <w:rsid w:val="3F7F424A"/>
    <w:rsid w:val="445F3D01"/>
    <w:rsid w:val="48B42262"/>
    <w:rsid w:val="4E4521A6"/>
    <w:rsid w:val="4E6C752D"/>
    <w:rsid w:val="514822CE"/>
    <w:rsid w:val="547A6366"/>
    <w:rsid w:val="57B61B17"/>
    <w:rsid w:val="5999603F"/>
    <w:rsid w:val="614810B7"/>
    <w:rsid w:val="662678C7"/>
    <w:rsid w:val="66710B75"/>
    <w:rsid w:val="6A5A7FF0"/>
    <w:rsid w:val="6BB747B5"/>
    <w:rsid w:val="72C047EC"/>
    <w:rsid w:val="74A62EBA"/>
    <w:rsid w:val="78D713AB"/>
    <w:rsid w:val="7A5D4538"/>
    <w:rsid w:val="7B3A2CA4"/>
    <w:rsid w:val="7B82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cs="Times New Roman"/>
      <w:b/>
      <w:bCs/>
      <w:kern w:val="44"/>
      <w:sz w:val="48"/>
      <w:szCs w:val="48"/>
      <w:lang w:val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页脚 字符"/>
    <w:basedOn w:val="9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1040</Characters>
  <Lines>7</Lines>
  <Paragraphs>2</Paragraphs>
  <TotalTime>3</TotalTime>
  <ScaleCrop>false</ScaleCrop>
  <LinksUpToDate>false</LinksUpToDate>
  <CharactersWithSpaces>1047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2022-01-10T03:40:00Z</dcterms:created>
  <dc:creator>Administrator</dc:creator>
  <cp:lastModifiedBy>徐小杨</cp:lastModifiedBy>
  <dcterms:modified xsi:type="dcterms:W3CDTF">2022-07-08T09:36:20Z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2021-07-13T00:00:00Z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B7B9BC6BB8AE4E0C9BF920B754CAE566</vt:lpwstr>
  </property>
</Properties>
</file>