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4" w:lineRule="auto"/>
        <w:ind w:right="210" w:rightChars="100"/>
        <w:rPr>
          <w:rFonts w:hint="eastAsia" w:ascii="仿宋_GB2312" w:eastAsia="仿宋_GB2312"/>
          <w:sz w:val="30"/>
          <w:lang w:eastAsia="zh-CN"/>
        </w:rPr>
      </w:pPr>
      <w:r>
        <w:rPr>
          <w:sz w:val="30"/>
        </w:rPr>
        <mc:AlternateContent>
          <mc:Choice Requires="wps">
            <w:drawing>
              <wp:anchor distT="0" distB="0" distL="114300" distR="114300" simplePos="0" relativeHeight="251715584" behindDoc="0" locked="0" layoutInCell="1" allowOverlap="1">
                <wp:simplePos x="0" y="0"/>
                <wp:positionH relativeFrom="column">
                  <wp:posOffset>-128905</wp:posOffset>
                </wp:positionH>
                <wp:positionV relativeFrom="paragraph">
                  <wp:posOffset>-13970</wp:posOffset>
                </wp:positionV>
                <wp:extent cx="5898515" cy="1237615"/>
                <wp:effectExtent l="0" t="0" r="0" b="0"/>
                <wp:wrapNone/>
                <wp:docPr id="3" name="文本框 3"/>
                <wp:cNvGraphicFramePr/>
                <a:graphic xmlns:a="http://schemas.openxmlformats.org/drawingml/2006/main">
                  <a:graphicData uri="http://schemas.microsoft.com/office/word/2010/wordprocessingShape">
                    <wps:wsp>
                      <wps:cNvSpPr txBox="1"/>
                      <wps:spPr>
                        <a:xfrm>
                          <a:off x="922655" y="1458595"/>
                          <a:ext cx="5898515" cy="1237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经典标宋简" w:hAnsi="经典标宋简" w:eastAsia="经典标宋简" w:cs="经典标宋简"/>
                                <w:b/>
                                <w:bCs/>
                                <w:color w:val="FF0000"/>
                                <w:spacing w:val="-45"/>
                                <w:w w:val="81"/>
                                <w:sz w:val="56"/>
                                <w:szCs w:val="56"/>
                                <w:lang w:eastAsia="zh-CN"/>
                              </w:rPr>
                            </w:pPr>
                            <w:r>
                              <w:rPr>
                                <w:rFonts w:hint="eastAsia" w:ascii="经典标宋简" w:hAnsi="经典标宋简" w:eastAsia="经典标宋简" w:cs="经典标宋简"/>
                                <w:b/>
                                <w:bCs/>
                                <w:color w:val="FF0000"/>
                                <w:spacing w:val="-45"/>
                                <w:w w:val="81"/>
                                <w:sz w:val="56"/>
                                <w:szCs w:val="56"/>
                                <w:lang w:eastAsia="zh-CN"/>
                              </w:rPr>
                              <w:t>中共泉州师范</w:t>
                            </w:r>
                            <w:r>
                              <w:rPr>
                                <w:rFonts w:hint="eastAsia" w:ascii="经典标宋简" w:hAnsi="经典标宋简" w:eastAsia="经典标宋简" w:cs="经典标宋简"/>
                                <w:b/>
                                <w:bCs/>
                                <w:color w:val="FF0000"/>
                                <w:spacing w:val="-45"/>
                                <w:w w:val="81"/>
                                <w:sz w:val="56"/>
                                <w:szCs w:val="56"/>
                                <w:lang w:val="en-US" w:eastAsia="zh-CN"/>
                              </w:rPr>
                              <w:t>学院</w:t>
                            </w:r>
                            <w:r>
                              <w:rPr>
                                <w:rFonts w:hint="eastAsia" w:ascii="经典标宋简" w:hAnsi="经典标宋简" w:eastAsia="经典标宋简" w:cs="经典标宋简"/>
                                <w:b/>
                                <w:bCs/>
                                <w:color w:val="FF0000"/>
                                <w:spacing w:val="-45"/>
                                <w:w w:val="81"/>
                                <w:sz w:val="56"/>
                                <w:szCs w:val="56"/>
                                <w:lang w:eastAsia="zh-CN"/>
                              </w:rPr>
                              <w:t>委员会</w:t>
                            </w:r>
                          </w:p>
                          <w:p>
                            <w:pPr>
                              <w:jc w:val="distribute"/>
                              <w:rPr>
                                <w:rFonts w:hint="eastAsia" w:ascii="经典标宋简" w:hAnsi="经典标宋简" w:eastAsia="经典标宋简" w:cs="经典标宋简"/>
                                <w:b/>
                                <w:bCs/>
                                <w:color w:val="FF0000"/>
                                <w:spacing w:val="-45"/>
                                <w:w w:val="81"/>
                                <w:sz w:val="56"/>
                                <w:szCs w:val="56"/>
                                <w:lang w:val="en-US" w:eastAsia="zh-CN"/>
                              </w:rPr>
                            </w:pPr>
                            <w:r>
                              <w:rPr>
                                <w:rFonts w:hint="eastAsia" w:ascii="经典标宋简" w:hAnsi="经典标宋简" w:eastAsia="经典标宋简" w:cs="经典标宋简"/>
                                <w:b/>
                                <w:bCs/>
                                <w:color w:val="FF0000"/>
                                <w:spacing w:val="-45"/>
                                <w:w w:val="81"/>
                                <w:sz w:val="56"/>
                                <w:szCs w:val="56"/>
                                <w:lang w:eastAsia="zh-CN"/>
                              </w:rPr>
                              <w:t>党的建设和全面从严治党工作领导小组办公室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5pt;margin-top:-1.1pt;height:97.45pt;width:464.45pt;z-index:251715584;mso-width-relative:page;mso-height-relative:page;" filled="f" stroked="f" coordsize="21600,21600" o:gfxdata="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7tZ3tkAAAAKAQAADwAAAAAAAAABACAAAAAiAAAAZHJzL2Rvd25yZXYueG1sUEsBAhQA&#10;FAAAAAgAh07iQGJyuskqAgAAJAQAAA4AAAAAAAAAAQAgAAAAKAEAAGRycy9lMm9Eb2MueG1sUEsF&#10;BgAAAAAGAAYAWQEAAMQFAAAAAA==&#10;">
                <v:fill on="f" focussize="0,0"/>
                <v:stroke on="f" weight="0.5pt"/>
                <v:imagedata o:title=""/>
                <o:lock v:ext="edit" aspectratio="f"/>
                <v:textbox>
                  <w:txbxContent>
                    <w:p>
                      <w:pPr>
                        <w:jc w:val="distribute"/>
                        <w:rPr>
                          <w:rFonts w:hint="eastAsia" w:ascii="经典标宋简" w:hAnsi="经典标宋简" w:eastAsia="经典标宋简" w:cs="经典标宋简"/>
                          <w:b/>
                          <w:bCs/>
                          <w:color w:val="FF0000"/>
                          <w:spacing w:val="-45"/>
                          <w:w w:val="81"/>
                          <w:sz w:val="56"/>
                          <w:szCs w:val="56"/>
                          <w:lang w:eastAsia="zh-CN"/>
                        </w:rPr>
                      </w:pPr>
                      <w:r>
                        <w:rPr>
                          <w:rFonts w:hint="eastAsia" w:ascii="经典标宋简" w:hAnsi="经典标宋简" w:eastAsia="经典标宋简" w:cs="经典标宋简"/>
                          <w:b/>
                          <w:bCs/>
                          <w:color w:val="FF0000"/>
                          <w:spacing w:val="-45"/>
                          <w:w w:val="81"/>
                          <w:sz w:val="56"/>
                          <w:szCs w:val="56"/>
                          <w:lang w:eastAsia="zh-CN"/>
                        </w:rPr>
                        <w:t>中共泉州师范</w:t>
                      </w:r>
                      <w:r>
                        <w:rPr>
                          <w:rFonts w:hint="eastAsia" w:ascii="经典标宋简" w:hAnsi="经典标宋简" w:eastAsia="经典标宋简" w:cs="经典标宋简"/>
                          <w:b/>
                          <w:bCs/>
                          <w:color w:val="FF0000"/>
                          <w:spacing w:val="-45"/>
                          <w:w w:val="81"/>
                          <w:sz w:val="56"/>
                          <w:szCs w:val="56"/>
                          <w:lang w:val="en-US" w:eastAsia="zh-CN"/>
                        </w:rPr>
                        <w:t>学院</w:t>
                      </w:r>
                      <w:r>
                        <w:rPr>
                          <w:rFonts w:hint="eastAsia" w:ascii="经典标宋简" w:hAnsi="经典标宋简" w:eastAsia="经典标宋简" w:cs="经典标宋简"/>
                          <w:b/>
                          <w:bCs/>
                          <w:color w:val="FF0000"/>
                          <w:spacing w:val="-45"/>
                          <w:w w:val="81"/>
                          <w:sz w:val="56"/>
                          <w:szCs w:val="56"/>
                          <w:lang w:eastAsia="zh-CN"/>
                        </w:rPr>
                        <w:t>委员会</w:t>
                      </w:r>
                    </w:p>
                    <w:p>
                      <w:pPr>
                        <w:jc w:val="distribute"/>
                        <w:rPr>
                          <w:rFonts w:hint="eastAsia" w:ascii="经典标宋简" w:hAnsi="经典标宋简" w:eastAsia="经典标宋简" w:cs="经典标宋简"/>
                          <w:b/>
                          <w:bCs/>
                          <w:color w:val="FF0000"/>
                          <w:spacing w:val="-45"/>
                          <w:w w:val="81"/>
                          <w:sz w:val="56"/>
                          <w:szCs w:val="56"/>
                          <w:lang w:val="en-US" w:eastAsia="zh-CN"/>
                        </w:rPr>
                      </w:pPr>
                      <w:r>
                        <w:rPr>
                          <w:rFonts w:hint="eastAsia" w:ascii="经典标宋简" w:hAnsi="经典标宋简" w:eastAsia="经典标宋简" w:cs="经典标宋简"/>
                          <w:b/>
                          <w:bCs/>
                          <w:color w:val="FF0000"/>
                          <w:spacing w:val="-45"/>
                          <w:w w:val="81"/>
                          <w:sz w:val="56"/>
                          <w:szCs w:val="56"/>
                          <w:lang w:eastAsia="zh-CN"/>
                        </w:rPr>
                        <w:t>党的建设和全面从严治党工作领导小组办公室</w:t>
                      </w:r>
                    </w:p>
                  </w:txbxContent>
                </v:textbox>
              </v:shape>
            </w:pict>
          </mc:Fallback>
        </mc:AlternateContent>
      </w:r>
    </w:p>
    <w:p>
      <w:pPr>
        <w:overflowPunct w:val="0"/>
        <w:autoSpaceDE w:val="0"/>
        <w:autoSpaceDN w:val="0"/>
        <w:spacing w:line="288" w:lineRule="auto"/>
        <w:ind w:firstLine="300" w:firstLineChars="100"/>
        <w:jc w:val="left"/>
        <w:rPr>
          <w:rFonts w:hint="eastAsia" w:ascii="仿宋_GB2312" w:eastAsia="仿宋_GB2312"/>
          <w:sz w:val="30"/>
        </w:rPr>
      </w:pPr>
    </w:p>
    <w:p>
      <w:pPr>
        <w:overflowPunct w:val="0"/>
        <w:autoSpaceDE w:val="0"/>
        <w:autoSpaceDN w:val="0"/>
        <w:spacing w:line="288" w:lineRule="auto"/>
        <w:ind w:firstLine="300" w:firstLineChars="100"/>
        <w:jc w:val="left"/>
        <w:rPr>
          <w:rFonts w:hint="eastAsia" w:ascii="仿宋_GB2312" w:eastAsia="仿宋_GB2312"/>
          <w:sz w:val="30"/>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ascii="仿宋_GB2312" w:hAnsi="仿宋_GB2312" w:eastAsia="仿宋_GB2312"/>
          <w:sz w:val="30"/>
        </w:rPr>
        <mc:AlternateContent>
          <mc:Choice Requires="wps">
            <w:drawing>
              <wp:anchor distT="0" distB="0" distL="114300" distR="114300" simplePos="0" relativeHeight="251685888" behindDoc="0" locked="0" layoutInCell="1" allowOverlap="1">
                <wp:simplePos x="0" y="0"/>
                <wp:positionH relativeFrom="column">
                  <wp:posOffset>-132715</wp:posOffset>
                </wp:positionH>
                <wp:positionV relativeFrom="paragraph">
                  <wp:posOffset>125095</wp:posOffset>
                </wp:positionV>
                <wp:extent cx="5862955" cy="10160"/>
                <wp:effectExtent l="0" t="31750" r="4445" b="34290"/>
                <wp:wrapNone/>
                <wp:docPr id="1" name="直接连接符 1"/>
                <wp:cNvGraphicFramePr/>
                <a:graphic xmlns:a="http://schemas.openxmlformats.org/drawingml/2006/main">
                  <a:graphicData uri="http://schemas.microsoft.com/office/word/2010/wordprocessingShape">
                    <wps:wsp>
                      <wps:cNvCnPr/>
                      <wps:spPr>
                        <a:xfrm>
                          <a:off x="0" y="0"/>
                          <a:ext cx="5862955" cy="10160"/>
                        </a:xfrm>
                        <a:prstGeom prst="line">
                          <a:avLst/>
                        </a:prstGeom>
                        <a:ln w="635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9.85pt;height:0.8pt;width:461.65pt;z-index:251685888;mso-width-relative:page;mso-height-relative:page;" filled="f" stroked="t" coordsize="21600,21600" o:gfxdata="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tcLxrWAAAA&#10;CQEAAA8AAAAAAAAAAQAgAAAAIgAAAGRycy9kb3ducmV2LnhtbFBLAQIUABQAAAAIAIdO4kBgStfY&#10;5gEAAKEDAAAOAAAAAAAAAAEAIAAAACUBAABkcnMvZTJvRG9jLnhtbFBLBQYAAAAABgAGAFkBAAB9&#10;BQAAAAA=&#10;">
                <v:fill on="f" focussize="0,0"/>
                <v:stroke weight="5pt" color="#FF0000" linestyle="thickThin" joinstyle="round"/>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8"/>
          <w:sz w:val="44"/>
          <w:szCs w:val="44"/>
          <w:lang w:val="en-US" w:eastAsia="zh-CN"/>
        </w:rPr>
      </w:pPr>
      <w:r>
        <w:rPr>
          <w:rFonts w:hint="eastAsia" w:ascii="方正小标宋简体" w:hAnsi="方正小标宋简体" w:eastAsia="方正小标宋简体" w:cs="方正小标宋简体"/>
          <w:spacing w:val="-28"/>
          <w:sz w:val="44"/>
          <w:szCs w:val="44"/>
          <w:lang w:val="en-US" w:eastAsia="zh-CN"/>
        </w:rPr>
        <w:t>转发《泉州市公职人员政商交往负面清单》的通知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各二级党委（党总支）、各单位：</w:t>
      </w:r>
      <w:bookmarkStart w:id="11" w:name="_GoBack"/>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近日，中共泉州市委落实全面从严治党主体责任工作领导小组办公室印发《泉州市公职人员政商交往负面清单》，现转发给你们，请按要求</w:t>
      </w:r>
      <w:r>
        <w:rPr>
          <w:rFonts w:hint="default" w:ascii="仿宋_GB2312" w:hAnsi="宋体" w:eastAsia="仿宋_GB2312"/>
          <w:sz w:val="32"/>
          <w:szCs w:val="32"/>
          <w:lang w:val="en-US" w:eastAsia="zh-CN"/>
        </w:rPr>
        <w:t>抓好贯彻落实。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1.抓好学习传达，将文件精神传达</w:t>
      </w:r>
      <w:r>
        <w:rPr>
          <w:rFonts w:hint="default" w:ascii="仿宋_GB2312" w:eastAsia="仿宋_GB2312"/>
          <w:sz w:val="32"/>
          <w:szCs w:val="32"/>
          <w:lang w:val="en-US" w:eastAsia="zh-CN"/>
        </w:rPr>
        <w:t>至全体公职人员</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深入贯彻习近平总书记关于构建亲清新型政商关系的重要指示精神。推动构建亲而有度、清而有为的亲清新型政商关系，既防止亲而不清，以权谋私、权钱交易、行贿受贿，又防止清而不亲，为官不为、懒政怠政，努力营造风清气正政治生态和良好营商环境，服务全省经济高质量发展。</w:t>
      </w:r>
    </w:p>
    <w:p>
      <w:pPr>
        <w:keepNext w:val="0"/>
        <w:keepLines w:val="0"/>
        <w:pageBreakBefore w:val="0"/>
        <w:widowControl w:val="0"/>
        <w:kinsoku/>
        <w:wordWrap/>
        <w:overflowPunct/>
        <w:topLinePunct w:val="0"/>
        <w:autoSpaceDE/>
        <w:autoSpaceDN/>
        <w:bidi w:val="0"/>
        <w:adjustRightInd/>
        <w:snapToGrid/>
        <w:spacing w:line="540" w:lineRule="exact"/>
        <w:ind w:firstLine="648"/>
        <w:textAlignment w:val="auto"/>
        <w:rPr>
          <w:rFonts w:hint="eastAsia" w:ascii="仿宋_GB2312" w:eastAsia="仿宋_GB2312"/>
          <w:sz w:val="32"/>
          <w:szCs w:val="32"/>
        </w:rPr>
      </w:pPr>
      <w:r>
        <w:rPr>
          <w:rFonts w:ascii="仿宋_GB2312" w:hAnsi="仿宋_GB2312" w:eastAsia="仿宋_GB2312"/>
          <w:sz w:val="30"/>
        </w:rPr>
        <mc:AlternateContent>
          <mc:Choice Requires="wps">
            <w:drawing>
              <wp:anchor distT="0" distB="0" distL="114300" distR="114300" simplePos="0" relativeHeight="251831296" behindDoc="0" locked="0" layoutInCell="1" allowOverlap="1">
                <wp:simplePos x="0" y="0"/>
                <wp:positionH relativeFrom="column">
                  <wp:posOffset>-34290</wp:posOffset>
                </wp:positionH>
                <wp:positionV relativeFrom="paragraph">
                  <wp:posOffset>1875790</wp:posOffset>
                </wp:positionV>
                <wp:extent cx="5725160" cy="34290"/>
                <wp:effectExtent l="0" t="38100" r="8890" b="41910"/>
                <wp:wrapNone/>
                <wp:docPr id="2" name="直接连接符 2"/>
                <wp:cNvGraphicFramePr/>
                <a:graphic xmlns:a="http://schemas.openxmlformats.org/drawingml/2006/main">
                  <a:graphicData uri="http://schemas.microsoft.com/office/word/2010/wordprocessingShape">
                    <wps:wsp>
                      <wps:cNvCnPr/>
                      <wps:spPr>
                        <a:xfrm flipV="1">
                          <a:off x="0" y="0"/>
                          <a:ext cx="5725160" cy="3429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pt;margin-top:147.7pt;height:2.7pt;width:450.8pt;z-index:251831296;mso-width-relative:page;mso-height-relative:page;" filled="f" stroked="t" coordsize="21600,21600" o:gfxdata="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K7KH1wAAAAkBAAAPAAAAAAAAAAEAIAAAACIAAABkcnMvZG93bnJldi54bWxQSwECFAAUAAAA&#10;CACHTuJA5sD+aO8BAACrAwAADgAAAAAAAAABACAAAAAmAQAAZHJzL2Uyb0RvYy54bWxQSwUGAAAA&#10;AAYABgBZAQAAhwUAAAAA&#10;">
                <v:fill on="f" focussize="0,0"/>
                <v:stroke weight="6pt" color="#FF0000" linestyle="thinThick" joinstyle="round"/>
                <v:imagedata o:title=""/>
                <o:lock v:ext="edit" aspectratio="f"/>
              </v:line>
            </w:pict>
          </mc:Fallback>
        </mc:AlternateContent>
      </w:r>
      <w:r>
        <w:rPr>
          <w:rFonts w:ascii="仿宋_GB2312" w:eastAsia="仿宋_GB2312"/>
          <w:sz w:val="32"/>
          <w:szCs w:val="32"/>
        </w:rPr>
        <w:t>3.</w:t>
      </w:r>
      <w:r>
        <w:rPr>
          <w:rFonts w:hint="eastAsia" w:ascii="仿宋_GB2312" w:eastAsia="仿宋_GB2312"/>
          <w:sz w:val="32"/>
          <w:szCs w:val="32"/>
        </w:rPr>
        <w:t>党政部门及其公职人员特别是领导干部在与民营企业及其负责人交往中，要严格遵守中央八项规定及其实施细则精神和省、市有关办法措施，坚守底线、不碰红线，坚决反对形式主义、官僚主义。</w:t>
      </w:r>
    </w:p>
    <w:p>
      <w:pPr>
        <w:keepNext w:val="0"/>
        <w:keepLines w:val="0"/>
        <w:pageBreakBefore w:val="0"/>
        <w:widowControl w:val="0"/>
        <w:kinsoku/>
        <w:wordWrap/>
        <w:overflowPunct/>
        <w:topLinePunct w:val="0"/>
        <w:autoSpaceDE/>
        <w:autoSpaceDN/>
        <w:bidi w:val="0"/>
        <w:adjustRightInd/>
        <w:snapToGrid/>
        <w:spacing w:line="540" w:lineRule="exact"/>
        <w:ind w:firstLine="648"/>
        <w:textAlignment w:val="auto"/>
        <w:rPr>
          <w:rFonts w:hint="eastAsia" w:ascii="仿宋_GB2312" w:eastAsia="仿宋_GB2312"/>
          <w:sz w:val="32"/>
          <w:szCs w:val="32"/>
          <w:lang w:val="en-US" w:eastAsia="zh-CN"/>
        </w:rPr>
        <w:sectPr>
          <w:pgSz w:w="11906" w:h="16838"/>
          <w:pgMar w:top="2098" w:right="1474" w:bottom="1984" w:left="1587" w:header="851" w:footer="992" w:gutter="0"/>
          <w:pgNumType w:fmt="numberInDash"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教育引导广大党员、干部和教职员工坚守廉洁底线，不碰政商交往“负面清单”红线，严禁以权谋私、“吃拿卡要”，不得侵害学生、家长的合法权益，打造风清气正的政治生态，营造廉洁奉公的校园氛围。</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539" w:firstLineChars="1106"/>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39" w:firstLineChars="1106"/>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39" w:firstLineChars="1106"/>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39" w:firstLineChars="1106"/>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中共泉州师范学院委员会党的建设和</w:t>
      </w:r>
    </w:p>
    <w:p>
      <w:pPr>
        <w:keepNext w:val="0"/>
        <w:keepLines w:val="0"/>
        <w:pageBreakBefore w:val="0"/>
        <w:widowControl w:val="0"/>
        <w:kinsoku/>
        <w:wordWrap/>
        <w:overflowPunct/>
        <w:topLinePunct w:val="0"/>
        <w:autoSpaceDE/>
        <w:autoSpaceDN/>
        <w:bidi w:val="0"/>
        <w:adjustRightInd/>
        <w:snapToGrid/>
        <w:spacing w:line="560" w:lineRule="exact"/>
        <w:ind w:firstLine="3859" w:firstLineChars="1206"/>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全面从严治党工作领导小组办公室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2020年7月7日</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8"/>
        <w:textAlignment w:val="auto"/>
        <w:rPr>
          <w:rFonts w:hint="default" w:ascii="仿宋_GB2312" w:eastAsia="仿宋_GB2312"/>
          <w:sz w:val="32"/>
          <w:szCs w:val="32"/>
          <w:lang w:val="en-US" w:eastAsia="zh-CN"/>
        </w:rPr>
      </w:pPr>
    </w:p>
    <w:p>
      <w:pPr>
        <w:pStyle w:val="7"/>
        <w:keepNext/>
        <w:keepLines/>
        <w:widowControl w:val="0"/>
        <w:shd w:val="clear" w:color="auto" w:fill="auto"/>
        <w:bidi w:val="0"/>
        <w:spacing w:before="0" w:after="560" w:line="240" w:lineRule="auto"/>
        <w:ind w:left="0" w:right="0" w:firstLine="0"/>
        <w:jc w:val="center"/>
        <w:rPr>
          <w:rFonts w:hint="eastAsia" w:ascii="方正小标宋简体" w:hAnsi="方正小标宋简体" w:eastAsia="方正小标宋简体" w:cs="方正小标宋简体"/>
        </w:rPr>
      </w:pPr>
      <w:bookmarkStart w:id="0" w:name="bookmark7"/>
      <w:bookmarkStart w:id="1" w:name="bookmark9"/>
      <w:bookmarkStart w:id="2" w:name="bookmark8"/>
      <w:r>
        <w:rPr>
          <w:rFonts w:hint="eastAsia" w:ascii="方正小标宋简体" w:hAnsi="方正小标宋简体" w:eastAsia="方正小标宋简体" w:cs="方正小标宋简体"/>
          <w:color w:val="000000"/>
          <w:spacing w:val="0"/>
          <w:w w:val="100"/>
          <w:position w:val="0"/>
        </w:rPr>
        <w:t>泉州市公职人员政商交往负面清单</w:t>
      </w:r>
      <w:bookmarkEnd w:id="0"/>
      <w:bookmarkEnd w:id="1"/>
      <w:bookmarkEnd w:id="2"/>
    </w:p>
    <w:p>
      <w:pPr>
        <w:pStyle w:val="8"/>
        <w:keepNext w:val="0"/>
        <w:keepLines w:val="0"/>
        <w:widowControl w:val="0"/>
        <w:shd w:val="clear" w:color="auto" w:fill="auto"/>
        <w:bidi w:val="0"/>
        <w:spacing w:before="0" w:after="0" w:line="642"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公职人员在与民营企业及其经营管理人员交往中，要严格贯 彻落实习近平总书记关于构建亲清新型政商关系的重要指示精 神，按照</w:t>
      </w:r>
      <w:r>
        <w:rPr>
          <w:rFonts w:hint="eastAsia" w:ascii="仿宋_GB2312" w:hAnsi="仿宋_GB2312" w:eastAsia="仿宋_GB2312" w:cs="仿宋_GB2312"/>
          <w:color w:val="000000"/>
          <w:spacing w:val="0"/>
          <w:w w:val="100"/>
          <w:position w:val="0"/>
          <w:sz w:val="32"/>
          <w:szCs w:val="32"/>
          <w:lang w:val="zh-CN" w:eastAsia="zh-CN" w:bidi="zh-CN"/>
        </w:rPr>
        <w:t>“积极</w:t>
      </w:r>
      <w:r>
        <w:rPr>
          <w:rFonts w:hint="eastAsia" w:ascii="仿宋_GB2312" w:hAnsi="仿宋_GB2312" w:eastAsia="仿宋_GB2312" w:cs="仿宋_GB2312"/>
          <w:color w:val="000000"/>
          <w:spacing w:val="0"/>
          <w:w w:val="100"/>
          <w:position w:val="0"/>
          <w:sz w:val="32"/>
          <w:szCs w:val="32"/>
        </w:rPr>
        <w:t>作为、靠前服务，守住底线、把握分寸”的要求 服务支持企业，不得有以下行为：</w:t>
      </w:r>
    </w:p>
    <w:p>
      <w:pPr>
        <w:pStyle w:val="8"/>
        <w:keepNext w:val="0"/>
        <w:keepLines w:val="0"/>
        <w:widowControl w:val="0"/>
        <w:numPr>
          <w:ilvl w:val="0"/>
          <w:numId w:val="1"/>
        </w:numPr>
        <w:shd w:val="clear" w:color="auto" w:fill="auto"/>
        <w:tabs>
          <w:tab w:val="left" w:pos="1050"/>
        </w:tabs>
        <w:bidi w:val="0"/>
        <w:spacing w:before="0" w:after="0" w:line="642" w:lineRule="exact"/>
        <w:ind w:left="0" w:right="0" w:firstLine="640"/>
        <w:jc w:val="both"/>
        <w:rPr>
          <w:rFonts w:hint="eastAsia" w:ascii="仿宋_GB2312" w:hAnsi="仿宋_GB2312" w:eastAsia="仿宋_GB2312" w:cs="仿宋_GB2312"/>
          <w:sz w:val="32"/>
          <w:szCs w:val="32"/>
        </w:rPr>
      </w:pPr>
      <w:bookmarkStart w:id="3" w:name="bookmark10"/>
      <w:bookmarkEnd w:id="3"/>
      <w:r>
        <w:rPr>
          <w:rFonts w:hint="eastAsia" w:ascii="仿宋_GB2312" w:hAnsi="仿宋_GB2312" w:eastAsia="仿宋_GB2312" w:cs="仿宋_GB2312"/>
          <w:color w:val="000000"/>
          <w:spacing w:val="0"/>
          <w:w w:val="100"/>
          <w:position w:val="0"/>
          <w:sz w:val="32"/>
          <w:szCs w:val="32"/>
        </w:rPr>
        <w:t>利用职权收取民营企业及其经营管理人员赠送的礼品、礼金、消费卡和有价证券、股权、其他金融产品等财物，接受可能影响公正执行公务的宴请、娱乐、旅游、博饼等活动安排，违规向民营企业及其经营管理人员放贷、借款、借物，或者变相占用车辆、机器、房产等资产。</w:t>
      </w:r>
    </w:p>
    <w:p>
      <w:pPr>
        <w:pStyle w:val="8"/>
        <w:keepNext w:val="0"/>
        <w:keepLines w:val="0"/>
        <w:widowControl w:val="0"/>
        <w:numPr>
          <w:ilvl w:val="0"/>
          <w:numId w:val="1"/>
        </w:numPr>
        <w:shd w:val="clear" w:color="auto" w:fill="auto"/>
        <w:tabs>
          <w:tab w:val="left" w:pos="1050"/>
        </w:tabs>
        <w:bidi w:val="0"/>
        <w:spacing w:before="0" w:after="0" w:line="601" w:lineRule="exact"/>
        <w:ind w:left="0" w:right="0" w:firstLine="640"/>
        <w:jc w:val="both"/>
        <w:rPr>
          <w:rFonts w:hint="eastAsia" w:ascii="仿宋_GB2312" w:hAnsi="仿宋_GB2312" w:eastAsia="仿宋_GB2312" w:cs="仿宋_GB2312"/>
          <w:sz w:val="32"/>
          <w:szCs w:val="32"/>
        </w:rPr>
      </w:pPr>
      <w:bookmarkStart w:id="4" w:name="bookmark11"/>
      <w:bookmarkEnd w:id="4"/>
      <w:r>
        <w:rPr>
          <w:rFonts w:hint="eastAsia" w:ascii="仿宋_GB2312" w:hAnsi="仿宋_GB2312" w:eastAsia="仿宋_GB2312" w:cs="仿宋_GB2312"/>
          <w:color w:val="000000"/>
          <w:spacing w:val="0"/>
          <w:w w:val="100"/>
          <w:position w:val="0"/>
          <w:sz w:val="32"/>
          <w:szCs w:val="32"/>
        </w:rPr>
        <w:t>在招商引资、市场准入、审批许可、执法监管、财政奖补、减税降费等涉企服务中推诿扯皮，对企业合理诉求置之不理。</w:t>
      </w:r>
    </w:p>
    <w:p>
      <w:pPr>
        <w:pStyle w:val="8"/>
        <w:keepNext w:val="0"/>
        <w:keepLines w:val="0"/>
        <w:widowControl w:val="0"/>
        <w:numPr>
          <w:ilvl w:val="0"/>
          <w:numId w:val="1"/>
        </w:numPr>
        <w:shd w:val="clear" w:color="auto" w:fill="auto"/>
        <w:tabs>
          <w:tab w:val="left" w:pos="1032"/>
        </w:tabs>
        <w:bidi w:val="0"/>
        <w:spacing w:before="0" w:after="0" w:line="641" w:lineRule="exact"/>
        <w:ind w:left="0" w:right="0" w:firstLine="640"/>
        <w:jc w:val="both"/>
        <w:rPr>
          <w:rFonts w:hint="eastAsia" w:ascii="仿宋_GB2312" w:hAnsi="仿宋_GB2312" w:eastAsia="仿宋_GB2312" w:cs="仿宋_GB2312"/>
          <w:sz w:val="32"/>
          <w:szCs w:val="32"/>
        </w:rPr>
      </w:pPr>
      <w:bookmarkStart w:id="5" w:name="bookmark12"/>
      <w:bookmarkEnd w:id="5"/>
      <w:r>
        <w:rPr>
          <w:rFonts w:hint="eastAsia" w:ascii="仿宋_GB2312" w:hAnsi="仿宋_GB2312" w:eastAsia="仿宋_GB2312" w:cs="仿宋_GB2312"/>
          <w:color w:val="000000"/>
          <w:spacing w:val="0"/>
          <w:w w:val="100"/>
          <w:position w:val="0"/>
          <w:sz w:val="32"/>
          <w:szCs w:val="32"/>
        </w:rPr>
        <w:t>插手和干预工程招投标、项目建设、物资采购等企业经营活动，损害民营企业合法权益；违规在民营企业兼职取酬、挂靠证书、持有干股或股份。</w:t>
      </w:r>
    </w:p>
    <w:p>
      <w:pPr>
        <w:pStyle w:val="8"/>
        <w:keepNext w:val="0"/>
        <w:keepLines w:val="0"/>
        <w:widowControl w:val="0"/>
        <w:numPr>
          <w:ilvl w:val="0"/>
          <w:numId w:val="1"/>
        </w:numPr>
        <w:shd w:val="clear" w:color="auto" w:fill="auto"/>
        <w:tabs>
          <w:tab w:val="left" w:pos="1032"/>
        </w:tabs>
        <w:bidi w:val="0"/>
        <w:spacing w:before="0" w:after="0" w:line="601" w:lineRule="exact"/>
        <w:ind w:left="0" w:right="0" w:firstLine="640"/>
        <w:jc w:val="both"/>
        <w:rPr>
          <w:rFonts w:hint="eastAsia" w:ascii="仿宋_GB2312" w:hAnsi="仿宋_GB2312" w:eastAsia="仿宋_GB2312" w:cs="仿宋_GB2312"/>
          <w:sz w:val="32"/>
          <w:szCs w:val="32"/>
        </w:rPr>
      </w:pPr>
      <w:bookmarkStart w:id="6" w:name="bookmark13"/>
      <w:bookmarkEnd w:id="6"/>
      <w:r>
        <w:rPr>
          <w:rFonts w:hint="eastAsia" w:ascii="仿宋_GB2312" w:hAnsi="仿宋_GB2312" w:eastAsia="仿宋_GB2312" w:cs="仿宋_GB2312"/>
          <w:color w:val="000000"/>
          <w:spacing w:val="0"/>
          <w:w w:val="100"/>
          <w:position w:val="0"/>
          <w:sz w:val="32"/>
          <w:szCs w:val="32"/>
        </w:rPr>
        <w:t>官商勾结，经营政商小圈子，在落实惠企政策、获取荣誉资格、干部选拔任用等方面搞不正当交易。</w:t>
      </w:r>
    </w:p>
    <w:p>
      <w:pPr>
        <w:pStyle w:val="8"/>
        <w:keepNext w:val="0"/>
        <w:keepLines w:val="0"/>
        <w:widowControl w:val="0"/>
        <w:numPr>
          <w:ilvl w:val="0"/>
          <w:numId w:val="1"/>
        </w:numPr>
        <w:shd w:val="clear" w:color="auto" w:fill="auto"/>
        <w:tabs>
          <w:tab w:val="left" w:pos="1056"/>
        </w:tabs>
        <w:bidi w:val="0"/>
        <w:spacing w:before="0" w:after="0" w:line="642" w:lineRule="exact"/>
        <w:ind w:left="0" w:right="0" w:firstLine="640"/>
        <w:jc w:val="both"/>
        <w:rPr>
          <w:rFonts w:hint="eastAsia" w:ascii="仿宋_GB2312" w:hAnsi="仿宋_GB2312" w:eastAsia="仿宋_GB2312" w:cs="仿宋_GB2312"/>
          <w:sz w:val="32"/>
          <w:szCs w:val="32"/>
        </w:rPr>
      </w:pPr>
      <w:bookmarkStart w:id="7" w:name="bookmark14"/>
      <w:bookmarkEnd w:id="7"/>
      <w:r>
        <w:rPr>
          <w:rFonts w:hint="eastAsia" w:ascii="仿宋_GB2312" w:hAnsi="仿宋_GB2312" w:eastAsia="仿宋_GB2312" w:cs="仿宋_GB2312"/>
          <w:color w:val="000000"/>
          <w:spacing w:val="0"/>
          <w:w w:val="100"/>
          <w:position w:val="0"/>
          <w:sz w:val="32"/>
          <w:szCs w:val="32"/>
        </w:rPr>
        <w:t>对民营企业乱检查、乱处罚、乱收费、乱摊派、乱募捐，</w:t>
      </w:r>
    </w:p>
    <w:p>
      <w:pPr>
        <w:pStyle w:val="8"/>
        <w:keepNext w:val="0"/>
        <w:keepLines w:val="0"/>
        <w:widowControl w:val="0"/>
        <w:shd w:val="clear" w:color="auto" w:fill="auto"/>
        <w:bidi w:val="0"/>
        <w:spacing w:before="0" w:after="0" w:line="641" w:lineRule="exac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或者超权限、超范围、超时限查封、扣押、冻结民营企业及其经 营管理人员的合法财产。</w:t>
      </w:r>
    </w:p>
    <w:p>
      <w:pPr>
        <w:pStyle w:val="8"/>
        <w:keepNext w:val="0"/>
        <w:keepLines w:val="0"/>
        <w:widowControl w:val="0"/>
        <w:numPr>
          <w:ilvl w:val="0"/>
          <w:numId w:val="1"/>
        </w:numPr>
        <w:shd w:val="clear" w:color="auto" w:fill="auto"/>
        <w:tabs>
          <w:tab w:val="left" w:pos="1035"/>
        </w:tabs>
        <w:bidi w:val="0"/>
        <w:spacing w:before="0" w:after="0" w:line="641" w:lineRule="exact"/>
        <w:ind w:left="0" w:right="0" w:firstLine="620"/>
        <w:jc w:val="both"/>
        <w:rPr>
          <w:rFonts w:hint="eastAsia" w:ascii="仿宋_GB2312" w:hAnsi="仿宋_GB2312" w:eastAsia="仿宋_GB2312" w:cs="仿宋_GB2312"/>
          <w:sz w:val="32"/>
          <w:szCs w:val="32"/>
        </w:rPr>
      </w:pPr>
      <w:bookmarkStart w:id="8" w:name="bookmark15"/>
      <w:bookmarkEnd w:id="8"/>
      <w:r>
        <w:rPr>
          <w:rFonts w:hint="eastAsia" w:ascii="仿宋_GB2312" w:hAnsi="仿宋_GB2312" w:eastAsia="仿宋_GB2312" w:cs="仿宋_GB2312"/>
          <w:color w:val="000000"/>
          <w:spacing w:val="0"/>
          <w:w w:val="100"/>
          <w:position w:val="0"/>
          <w:sz w:val="32"/>
          <w:szCs w:val="32"/>
        </w:rPr>
        <w:t>未经批准，参加商会、协会的成立、换届等活动，出席企业举办的商业性剪彩、奠基、庆典等活动。</w:t>
      </w:r>
    </w:p>
    <w:p>
      <w:pPr>
        <w:pStyle w:val="8"/>
        <w:keepNext w:val="0"/>
        <w:keepLines w:val="0"/>
        <w:widowControl w:val="0"/>
        <w:numPr>
          <w:ilvl w:val="0"/>
          <w:numId w:val="1"/>
        </w:numPr>
        <w:shd w:val="clear" w:color="auto" w:fill="auto"/>
        <w:tabs>
          <w:tab w:val="left" w:pos="1046"/>
        </w:tabs>
        <w:bidi w:val="0"/>
        <w:spacing w:before="0" w:after="260" w:line="641" w:lineRule="exact"/>
        <w:ind w:left="0" w:right="0" w:firstLine="620"/>
        <w:jc w:val="both"/>
        <w:rPr>
          <w:rFonts w:hint="eastAsia" w:ascii="仿宋_GB2312" w:hAnsi="仿宋_GB2312" w:eastAsia="仿宋_GB2312" w:cs="仿宋_GB2312"/>
          <w:sz w:val="32"/>
          <w:szCs w:val="32"/>
        </w:rPr>
      </w:pPr>
      <w:bookmarkStart w:id="9" w:name="bookmark16"/>
      <w:bookmarkEnd w:id="9"/>
      <w:r>
        <w:rPr>
          <w:rFonts w:hint="eastAsia" w:ascii="仿宋_GB2312" w:hAnsi="仿宋_GB2312" w:eastAsia="仿宋_GB2312" w:cs="仿宋_GB2312"/>
          <w:color w:val="000000"/>
          <w:spacing w:val="0"/>
          <w:w w:val="100"/>
          <w:position w:val="0"/>
          <w:sz w:val="32"/>
          <w:szCs w:val="32"/>
        </w:rPr>
        <w:t>纵容、默许配偶、子女及其配偶等亲属、身边工作人员和其他特定关系人在本人管辖区域或影响范围内的企业谋取不正当利益。</w:t>
      </w:r>
    </w:p>
    <w:p>
      <w:pPr>
        <w:pStyle w:val="8"/>
        <w:keepNext w:val="0"/>
        <w:keepLines w:val="0"/>
        <w:widowControl w:val="0"/>
        <w:numPr>
          <w:ilvl w:val="0"/>
          <w:numId w:val="1"/>
        </w:numPr>
        <w:shd w:val="clear" w:color="auto" w:fill="auto"/>
        <w:tabs>
          <w:tab w:val="left" w:pos="1029"/>
        </w:tabs>
        <w:bidi w:val="0"/>
        <w:spacing w:before="0" w:after="140" w:line="418" w:lineRule="auto"/>
        <w:ind w:left="0" w:right="0" w:firstLine="620"/>
        <w:jc w:val="both"/>
        <w:rPr>
          <w:rFonts w:hint="eastAsia" w:ascii="仿宋_GB2312" w:hAnsi="仿宋_GB2312" w:eastAsia="仿宋_GB2312" w:cs="仿宋_GB2312"/>
          <w:sz w:val="32"/>
          <w:szCs w:val="32"/>
        </w:rPr>
      </w:pPr>
      <w:bookmarkStart w:id="10" w:name="bookmark17"/>
      <w:bookmarkEnd w:id="10"/>
      <w:r>
        <w:rPr>
          <w:rFonts w:hint="eastAsia" w:ascii="仿宋_GB2312" w:hAnsi="仿宋_GB2312" w:eastAsia="仿宋_GB2312" w:cs="仿宋_GB2312"/>
          <w:color w:val="000000"/>
          <w:spacing w:val="0"/>
          <w:w w:val="100"/>
          <w:position w:val="0"/>
          <w:sz w:val="32"/>
          <w:szCs w:val="32"/>
        </w:rPr>
        <w:t>其他政商交往中违反党规党纪和法律法规的情形。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tabs>
          <w:tab w:val="left" w:pos="7513"/>
          <w:tab w:val="left" w:pos="7655"/>
          <w:tab w:val="left" w:pos="7797"/>
        </w:tabs>
        <w:spacing w:line="360" w:lineRule="auto"/>
        <w:ind w:right="840" w:rightChars="400"/>
        <w:jc w:val="both"/>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经典标宋简">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8988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98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A2DF1"/>
    <w:rsid w:val="0C4604EC"/>
    <w:rsid w:val="1E7A2DF1"/>
    <w:rsid w:val="5CDE7DF8"/>
    <w:rsid w:val="64C3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Heading #2|1"/>
    <w:basedOn w:val="1"/>
    <w:qFormat/>
    <w:uiPriority w:val="0"/>
    <w:pPr>
      <w:widowControl w:val="0"/>
      <w:shd w:val="clear" w:color="auto" w:fill="auto"/>
      <w:spacing w:after="540"/>
      <w:jc w:val="center"/>
      <w:outlineLvl w:val="1"/>
    </w:pPr>
    <w:rPr>
      <w:rFonts w:ascii="宋体" w:hAnsi="宋体" w:eastAsia="宋体" w:cs="宋体"/>
      <w:sz w:val="44"/>
      <w:szCs w:val="44"/>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1050</Words>
  <Characters>1057</Characters>
  <Lines>0</Lines>
  <Paragraphs>0</Paragraphs>
  <TotalTime>12</TotalTime>
  <ScaleCrop>false</ScaleCrop>
  <LinksUpToDate>false</LinksUpToDate>
  <CharactersWithSpaces>1065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2020-05-07T02:23:00Z</dcterms:created>
  <dc:creator>davy</dc:creator>
  <cp:lastModifiedBy>davy</cp:lastModifiedBy>
  <cp:lastPrinted>2020-07-07T09:38:00Z</cp:lastPrinted>
  <dcterms:modified xsi:type="dcterms:W3CDTF">2020-07-07T10:27:40Z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