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sz w:val="44"/>
          <w:szCs w:val="52"/>
          <w:highlight w:val="none"/>
        </w:rPr>
      </w:pPr>
      <w:bookmarkStart w:id="0" w:name="_GoBack"/>
      <w:r>
        <w:rPr>
          <w:rFonts w:hint="eastAsia" w:ascii="方正小标宋简体" w:hAnsi="方正小标宋简体" w:eastAsia="方正小标宋简体" w:cs="方正小标宋简体"/>
          <w:sz w:val="44"/>
          <w:szCs w:val="52"/>
          <w:highlight w:val="none"/>
        </w:rPr>
        <w:t>福建省</w:t>
      </w:r>
      <w:r>
        <w:rPr>
          <w:rFonts w:hint="eastAsia" w:ascii="方正小标宋简体" w:hAnsi="方正小标宋简体" w:eastAsia="方正小标宋简体" w:cs="方正小标宋简体"/>
          <w:sz w:val="44"/>
          <w:szCs w:val="52"/>
          <w:highlight w:val="none"/>
          <w:lang w:eastAsia="zh-CN"/>
        </w:rPr>
        <w:t>进一步促进中国国际</w:t>
      </w:r>
      <w:r>
        <w:rPr>
          <w:rFonts w:hint="eastAsia" w:ascii="方正小标宋简体" w:hAnsi="方正小标宋简体" w:eastAsia="方正小标宋简体" w:cs="方正小标宋简体"/>
          <w:sz w:val="44"/>
          <w:szCs w:val="52"/>
          <w:highlight w:val="none"/>
        </w:rPr>
        <w:t>“互联网＋”</w:t>
      </w:r>
    </w:p>
    <w:p>
      <w:pPr>
        <w:spacing w:line="700" w:lineRule="exact"/>
        <w:jc w:val="center"/>
        <w:rPr>
          <w:rFonts w:hint="eastAsia"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大学生创新创业大赛激励措施</w:t>
      </w:r>
    </w:p>
    <w:bookmarkEnd w:id="0"/>
    <w:p>
      <w:pPr>
        <w:spacing w:line="700" w:lineRule="exact"/>
        <w:jc w:val="center"/>
        <w:rPr>
          <w:rFonts w:hint="eastAsia" w:ascii="楷体_GB2312" w:hAnsi="楷体_GB2312" w:eastAsia="楷体_GB2312" w:cs="楷体_GB2312"/>
          <w:sz w:val="32"/>
          <w:szCs w:val="40"/>
          <w:highlight w:val="none"/>
          <w:lang w:eastAsia="zh-CN"/>
        </w:rPr>
      </w:pPr>
      <w:r>
        <w:rPr>
          <w:rFonts w:hint="eastAsia" w:ascii="楷体_GB2312" w:hAnsi="楷体_GB2312" w:eastAsia="楷体_GB2312" w:cs="楷体_GB2312"/>
          <w:sz w:val="32"/>
          <w:szCs w:val="40"/>
          <w:highlight w:val="none"/>
          <w:lang w:eastAsia="zh-CN"/>
        </w:rPr>
        <w:t>（征求意见稿）</w:t>
      </w:r>
    </w:p>
    <w:p>
      <w:pPr>
        <w:pStyle w:val="2"/>
        <w:spacing w:line="560" w:lineRule="exact"/>
        <w:rPr>
          <w:rFonts w:hint="eastAsia"/>
          <w:highlight w:val="none"/>
        </w:rPr>
      </w:pPr>
    </w:p>
    <w:p>
      <w:pPr>
        <w:spacing w:line="560" w:lineRule="exact"/>
        <w:ind w:firstLine="640" w:firstLineChars="200"/>
        <w:rPr>
          <w:rFonts w:hint="eastAsia" w:eastAsia="仿宋_GB2312"/>
          <w:color w:val="auto"/>
          <w:sz w:val="32"/>
          <w:highlight w:val="none"/>
          <w:u w:val="none"/>
          <w:lang w:val="en-US" w:eastAsia="zh-CN"/>
        </w:rPr>
      </w:pPr>
      <w:r>
        <w:rPr>
          <w:rFonts w:hint="eastAsia" w:ascii="Calibri" w:hAnsi="Calibri" w:eastAsia="仿宋_GB2312" w:cs="Times New Roman"/>
          <w:b w:val="0"/>
          <w:i w:val="0"/>
          <w:caps w:val="0"/>
          <w:color w:val="auto"/>
          <w:spacing w:val="0"/>
          <w:sz w:val="32"/>
          <w:szCs w:val="24"/>
          <w:highlight w:val="none"/>
          <w:u w:val="none"/>
          <w:shd w:val="clear" w:color="auto" w:fill="FFFFFF"/>
          <w:lang w:eastAsia="zh-CN"/>
        </w:rPr>
        <w:t>根据《</w:t>
      </w:r>
      <w:r>
        <w:rPr>
          <w:rFonts w:hint="eastAsia" w:ascii="Calibri" w:hAnsi="Calibri" w:eastAsia="仿宋_GB2312" w:cs="Times New Roman"/>
          <w:b w:val="0"/>
          <w:i w:val="0"/>
          <w:caps w:val="0"/>
          <w:color w:val="auto"/>
          <w:spacing w:val="0"/>
          <w:sz w:val="32"/>
          <w:szCs w:val="24"/>
          <w:highlight w:val="none"/>
          <w:u w:val="none"/>
          <w:shd w:val="clear" w:color="auto" w:fill="FFFFFF"/>
        </w:rPr>
        <w:t>国务院办公厅关于进一步支持大学生创新创业的指导意见</w:t>
      </w:r>
      <w:r>
        <w:rPr>
          <w:rFonts w:hint="eastAsia" w:ascii="Calibri" w:hAnsi="Calibri" w:eastAsia="仿宋_GB2312" w:cs="Times New Roman"/>
          <w:b w:val="0"/>
          <w:i w:val="0"/>
          <w:caps w:val="0"/>
          <w:color w:val="auto"/>
          <w:spacing w:val="0"/>
          <w:sz w:val="32"/>
          <w:szCs w:val="24"/>
          <w:highlight w:val="none"/>
          <w:u w:val="none"/>
          <w:shd w:val="clear" w:color="auto" w:fill="FFFFFF"/>
          <w:lang w:eastAsia="zh-CN"/>
        </w:rPr>
        <w:t>》</w:t>
      </w:r>
      <w:r>
        <w:rPr>
          <w:rFonts w:hint="eastAsia" w:ascii="仿宋_GB2312" w:hAnsi="仿宋_GB2312" w:eastAsia="仿宋_GB2312" w:cs="仿宋_GB2312"/>
          <w:b w:val="0"/>
          <w:i w:val="0"/>
          <w:caps w:val="0"/>
          <w:color w:val="auto"/>
          <w:spacing w:val="0"/>
          <w:sz w:val="32"/>
          <w:szCs w:val="24"/>
          <w:highlight w:val="none"/>
          <w:u w:val="none"/>
          <w:shd w:val="clear" w:color="auto" w:fill="FFFFFF"/>
          <w:lang w:eastAsia="zh-CN"/>
        </w:rPr>
        <w:t>（</w:t>
      </w:r>
      <w:r>
        <w:rPr>
          <w:rFonts w:hint="eastAsia" w:ascii="仿宋_GB2312" w:hAnsi="仿宋_GB2312" w:eastAsia="仿宋_GB2312" w:cs="仿宋_GB2312"/>
          <w:i w:val="0"/>
          <w:caps w:val="0"/>
          <w:color w:val="auto"/>
          <w:spacing w:val="0"/>
          <w:sz w:val="32"/>
          <w:szCs w:val="24"/>
          <w:highlight w:val="none"/>
          <w:u w:val="none"/>
          <w:shd w:val="clear" w:color="auto" w:fill="FFFFFF"/>
        </w:rPr>
        <w:t>国办发〔2021〕35号</w:t>
      </w:r>
      <w:r>
        <w:rPr>
          <w:rFonts w:hint="eastAsia" w:ascii="仿宋_GB2312" w:hAnsi="仿宋_GB2312" w:eastAsia="仿宋_GB2312" w:cs="仿宋_GB2312"/>
          <w:i w:val="0"/>
          <w:caps w:val="0"/>
          <w:color w:val="auto"/>
          <w:spacing w:val="0"/>
          <w:sz w:val="32"/>
          <w:szCs w:val="24"/>
          <w:highlight w:val="none"/>
          <w:u w:val="none"/>
          <w:shd w:val="clear" w:color="auto" w:fill="FFFFFF"/>
          <w:lang w:eastAsia="zh-CN"/>
        </w:rPr>
        <w:t>）</w:t>
      </w:r>
      <w:r>
        <w:rPr>
          <w:rFonts w:hint="eastAsia" w:ascii="仿宋_GB2312" w:hAnsi="仿宋_GB2312" w:eastAsia="仿宋_GB2312" w:cs="仿宋_GB2312"/>
          <w:i w:val="0"/>
          <w:caps w:val="0"/>
          <w:color w:val="auto"/>
          <w:spacing w:val="0"/>
          <w:sz w:val="32"/>
          <w:szCs w:val="24"/>
          <w:highlight w:val="none"/>
          <w:u w:val="none"/>
          <w:shd w:val="clear" w:color="auto" w:fill="auto"/>
          <w:lang w:eastAsia="zh-CN"/>
        </w:rPr>
        <w:t>，</w:t>
      </w:r>
      <w:r>
        <w:rPr>
          <w:rFonts w:hint="eastAsia" w:ascii="仿宋_GB2312" w:hAnsi="仿宋_GB2312" w:eastAsia="仿宋_GB2312" w:cs="仿宋_GB2312"/>
          <w:color w:val="auto"/>
          <w:sz w:val="32"/>
          <w:highlight w:val="none"/>
          <w:u w:val="none"/>
          <w:lang w:val="en-US" w:eastAsia="zh-CN"/>
        </w:rPr>
        <w:t>为深入推进大众创业万众创新，充分发挥中国国际“互联网+”大学生</w:t>
      </w:r>
      <w:r>
        <w:rPr>
          <w:rFonts w:hint="eastAsia" w:eastAsia="仿宋_GB2312"/>
          <w:color w:val="auto"/>
          <w:sz w:val="32"/>
          <w:highlight w:val="none"/>
          <w:u w:val="none"/>
          <w:lang w:val="en-US" w:eastAsia="zh-CN"/>
        </w:rPr>
        <w:t>创新创业大赛对我省创新创业创造人才培养的促进作用，有效激励广大师生的创新精神、创造意识和创业能力，进一步支持大学生创新创业创造，特制定以下激励措施。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b w:val="0"/>
          <w:bCs w:val="0"/>
          <w:color w:val="auto"/>
          <w:sz w:val="32"/>
          <w:highlight w:val="none"/>
          <w:u w:val="none"/>
          <w:lang w:val="en-US" w:eastAsia="zh-CN"/>
        </w:rPr>
      </w:pPr>
      <w:r>
        <w:rPr>
          <w:rFonts w:hint="eastAsia" w:ascii="黑体" w:hAnsi="黑体" w:eastAsia="黑体" w:cs="黑体"/>
          <w:b w:val="0"/>
          <w:bCs w:val="0"/>
          <w:color w:val="auto"/>
          <w:sz w:val="32"/>
          <w:highlight w:val="none"/>
          <w:u w:val="none"/>
          <w:lang w:eastAsia="zh-CN"/>
        </w:rPr>
        <w:t>一、</w:t>
      </w:r>
      <w:r>
        <w:rPr>
          <w:rFonts w:hint="eastAsia" w:ascii="黑体" w:hAnsi="黑体" w:eastAsia="黑体" w:cs="黑体"/>
          <w:b w:val="0"/>
          <w:bCs w:val="0"/>
          <w:color w:val="auto"/>
          <w:sz w:val="32"/>
          <w:highlight w:val="none"/>
          <w:u w:val="none"/>
          <w:lang w:val="en-US" w:eastAsia="zh-CN"/>
        </w:rPr>
        <w:t>学校激励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u w:val="none"/>
          <w:lang w:eastAsia="zh-CN"/>
        </w:rPr>
      </w:pPr>
      <w:r>
        <w:rPr>
          <w:rFonts w:hint="eastAsia" w:ascii="仿宋_GB2312" w:hAnsi="仿宋_GB2312" w:eastAsia="仿宋_GB2312" w:cs="仿宋_GB2312"/>
          <w:color w:val="auto"/>
          <w:sz w:val="32"/>
          <w:highlight w:val="none"/>
          <w:u w:val="none"/>
          <w:lang w:val="en-US" w:eastAsia="zh-CN"/>
        </w:rPr>
        <w:t>（一）</w:t>
      </w:r>
      <w:r>
        <w:rPr>
          <w:rFonts w:hint="eastAsia" w:ascii="仿宋_GB2312" w:hAnsi="仿宋_GB2312" w:eastAsia="仿宋_GB2312" w:cs="仿宋_GB2312"/>
          <w:color w:val="auto"/>
          <w:sz w:val="32"/>
          <w:highlight w:val="none"/>
          <w:u w:val="none"/>
        </w:rPr>
        <w:t>将</w:t>
      </w:r>
      <w:r>
        <w:rPr>
          <w:rFonts w:hint="eastAsia" w:ascii="仿宋_GB2312" w:hAnsi="仿宋_GB2312" w:eastAsia="仿宋_GB2312" w:cs="仿宋_GB2312"/>
          <w:color w:val="auto"/>
          <w:sz w:val="32"/>
          <w:highlight w:val="none"/>
          <w:u w:val="none"/>
          <w:lang w:eastAsia="zh-CN"/>
        </w:rPr>
        <w:t>中国国际“互联网</w:t>
      </w:r>
      <w:r>
        <w:rPr>
          <w:rFonts w:hint="eastAsia" w:ascii="仿宋_GB2312" w:hAnsi="仿宋_GB2312" w:eastAsia="仿宋_GB2312" w:cs="仿宋_GB2312"/>
          <w:color w:val="auto"/>
          <w:sz w:val="32"/>
          <w:highlight w:val="none"/>
          <w:u w:val="none"/>
          <w:lang w:val="en-US" w:eastAsia="zh-CN"/>
        </w:rPr>
        <w:t>+”大学生创新创业大赛（以下简称“国赛”）和福建省“互联网+”大学生创新创业大赛暨黄炎培海峡职业教育创新创业大赛（以下简称“省赛”）的</w:t>
      </w:r>
      <w:r>
        <w:rPr>
          <w:rFonts w:hint="eastAsia" w:ascii="仿宋_GB2312" w:hAnsi="仿宋_GB2312" w:eastAsia="仿宋_GB2312" w:cs="仿宋_GB2312"/>
          <w:color w:val="auto"/>
          <w:sz w:val="32"/>
          <w:highlight w:val="none"/>
          <w:u w:val="none"/>
        </w:rPr>
        <w:t>获奖情况列入高校“双一流”建设、本科教育教学审核评估、高校毕业生就业创业</w:t>
      </w:r>
      <w:r>
        <w:rPr>
          <w:rFonts w:hint="eastAsia" w:ascii="仿宋_GB2312" w:hAnsi="仿宋_GB2312" w:eastAsia="仿宋_GB2312" w:cs="仿宋_GB2312"/>
          <w:color w:val="auto"/>
          <w:sz w:val="32"/>
          <w:highlight w:val="none"/>
          <w:u w:val="none"/>
          <w:lang w:eastAsia="zh-CN"/>
        </w:rPr>
        <w:t>、省</w:t>
      </w:r>
      <w:r>
        <w:rPr>
          <w:rFonts w:hint="eastAsia" w:ascii="仿宋_GB2312" w:hAnsi="仿宋_GB2312" w:eastAsia="仿宋_GB2312" w:cs="仿宋_GB2312"/>
          <w:color w:val="auto"/>
          <w:sz w:val="32"/>
          <w:highlight w:val="none"/>
          <w:u w:val="none"/>
        </w:rPr>
        <w:t>级创新创业创造教育示范院校、省级产创融合教育实践示范基地建设成效评价指标和学校年度绩效考核</w:t>
      </w:r>
      <w:r>
        <w:rPr>
          <w:rFonts w:hint="eastAsia" w:ascii="仿宋_GB2312" w:hAnsi="仿宋_GB2312" w:eastAsia="仿宋_GB2312" w:cs="仿宋_GB2312"/>
          <w:color w:val="auto"/>
          <w:sz w:val="32"/>
          <w:highlight w:val="none"/>
          <w:u w:val="none"/>
          <w:lang w:eastAsia="zh-CN"/>
        </w:rPr>
        <w:t>评价的参考因素</w:t>
      </w:r>
      <w:r>
        <w:rPr>
          <w:rFonts w:hint="eastAsia" w:ascii="仿宋_GB2312" w:hAnsi="仿宋_GB2312" w:eastAsia="仿宋_GB2312" w:cs="仿宋_GB2312"/>
          <w:color w:val="auto"/>
          <w:sz w:val="32"/>
          <w:highlight w:val="none"/>
          <w:u w:val="none"/>
        </w:rPr>
        <w:t>；将国赛和省赛的获奖情况</w:t>
      </w:r>
      <w:r>
        <w:rPr>
          <w:rFonts w:hint="eastAsia" w:ascii="仿宋_GB2312" w:hAnsi="仿宋_GB2312" w:eastAsia="仿宋_GB2312" w:cs="仿宋_GB2312"/>
          <w:i w:val="0"/>
          <w:iCs w:val="0"/>
          <w:color w:val="auto"/>
          <w:sz w:val="32"/>
          <w:highlight w:val="none"/>
          <w:u w:val="none"/>
        </w:rPr>
        <w:t>作为</w:t>
      </w:r>
      <w:r>
        <w:rPr>
          <w:rFonts w:hint="eastAsia" w:ascii="仿宋_GB2312" w:hAnsi="仿宋_GB2312" w:eastAsia="仿宋_GB2312" w:cs="仿宋_GB2312"/>
          <w:i w:val="0"/>
          <w:iCs w:val="0"/>
          <w:color w:val="auto"/>
          <w:sz w:val="32"/>
          <w:highlight w:val="none"/>
          <w:u w:val="none"/>
          <w:lang w:eastAsia="zh-CN"/>
        </w:rPr>
        <w:t>省级</w:t>
      </w:r>
      <w:r>
        <w:rPr>
          <w:rFonts w:hint="eastAsia" w:ascii="仿宋_GB2312" w:hAnsi="仿宋_GB2312" w:eastAsia="仿宋_GB2312" w:cs="仿宋_GB2312"/>
          <w:i w:val="0"/>
          <w:iCs w:val="0"/>
          <w:color w:val="auto"/>
          <w:sz w:val="32"/>
          <w:highlight w:val="none"/>
          <w:u w:val="none"/>
        </w:rPr>
        <w:t>高水平职业院校和专业建设计划</w:t>
      </w:r>
      <w:r>
        <w:rPr>
          <w:rFonts w:hint="eastAsia" w:ascii="仿宋_GB2312" w:hAnsi="仿宋_GB2312" w:eastAsia="仿宋_GB2312" w:cs="仿宋_GB2312"/>
          <w:i w:val="0"/>
          <w:iCs w:val="0"/>
          <w:color w:val="auto"/>
          <w:sz w:val="32"/>
          <w:highlight w:val="none"/>
          <w:u w:val="none"/>
          <w:lang w:eastAsia="zh-CN"/>
        </w:rPr>
        <w:t>的考核评估指标和</w:t>
      </w:r>
      <w:r>
        <w:rPr>
          <w:rFonts w:hint="eastAsia" w:ascii="仿宋_GB2312" w:hAnsi="仿宋_GB2312" w:eastAsia="仿宋_GB2312" w:cs="仿宋_GB2312"/>
          <w:i w:val="0"/>
          <w:iCs w:val="0"/>
          <w:color w:val="auto"/>
          <w:sz w:val="32"/>
          <w:highlight w:val="none"/>
          <w:u w:val="none"/>
        </w:rPr>
        <w:t>现代职业教育质量提升计划</w:t>
      </w:r>
      <w:r>
        <w:rPr>
          <w:rFonts w:hint="eastAsia" w:ascii="仿宋_GB2312" w:hAnsi="仿宋_GB2312" w:eastAsia="仿宋_GB2312" w:cs="仿宋_GB2312"/>
          <w:i w:val="0"/>
          <w:iCs w:val="0"/>
          <w:color w:val="auto"/>
          <w:sz w:val="32"/>
          <w:highlight w:val="none"/>
          <w:u w:val="none"/>
          <w:lang w:eastAsia="zh-CN"/>
        </w:rPr>
        <w:t>中央专项资金分配因素，并在职业教育改革试点项目遴选中予以倾斜；</w:t>
      </w:r>
      <w:r>
        <w:rPr>
          <w:rFonts w:hint="eastAsia" w:ascii="仿宋_GB2312" w:hAnsi="仿宋_GB2312" w:eastAsia="仿宋_GB2312" w:cs="仿宋_GB2312"/>
          <w:i w:val="0"/>
          <w:iCs w:val="0"/>
          <w:color w:val="auto"/>
          <w:sz w:val="32"/>
          <w:highlight w:val="none"/>
          <w:u w:val="none"/>
        </w:rPr>
        <w:t>萌芽赛道国赛和省赛获奖情况列入</w:t>
      </w:r>
      <w:r>
        <w:rPr>
          <w:rFonts w:hint="eastAsia" w:ascii="仿宋_GB2312" w:hAnsi="仿宋_GB2312" w:eastAsia="仿宋_GB2312" w:cs="仿宋_GB2312"/>
          <w:i w:val="0"/>
          <w:iCs w:val="0"/>
          <w:color w:val="auto"/>
          <w:sz w:val="32"/>
          <w:highlight w:val="none"/>
          <w:u w:val="none"/>
          <w:lang w:eastAsia="zh-CN"/>
        </w:rPr>
        <w:t>普通中学</w:t>
      </w:r>
      <w:r>
        <w:rPr>
          <w:rFonts w:hint="eastAsia" w:ascii="仿宋_GB2312" w:hAnsi="仿宋_GB2312" w:eastAsia="仿宋_GB2312" w:cs="仿宋_GB2312"/>
          <w:i w:val="0"/>
          <w:iCs w:val="0"/>
          <w:color w:val="auto"/>
          <w:sz w:val="32"/>
          <w:highlight w:val="none"/>
          <w:u w:val="none"/>
        </w:rPr>
        <w:t>达标学校评估指标。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24"/>
          <w:highlight w:val="none"/>
          <w:u w:val="none"/>
          <w:shd w:val="clear" w:color="auto" w:fill="auto"/>
          <w:lang w:eastAsia="zh-CN"/>
        </w:rPr>
      </w:pPr>
      <w:r>
        <w:rPr>
          <w:rFonts w:hint="eastAsia" w:ascii="黑体" w:hAnsi="黑体" w:eastAsia="黑体" w:cs="黑体"/>
          <w:b w:val="0"/>
          <w:bCs w:val="0"/>
          <w:color w:val="auto"/>
          <w:kern w:val="2"/>
          <w:sz w:val="32"/>
          <w:szCs w:val="24"/>
          <w:highlight w:val="none"/>
          <w:u w:val="none"/>
          <w:shd w:val="clear" w:color="auto" w:fill="auto"/>
          <w:lang w:eastAsia="zh-CN"/>
        </w:rPr>
        <w:t>二、指导教师激励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u w:val="none"/>
          <w:lang w:eastAsia="zh-CN"/>
        </w:rPr>
      </w:pPr>
      <w:r>
        <w:rPr>
          <w:rFonts w:hint="eastAsia" w:ascii="仿宋_GB2312" w:hAnsi="仿宋_GB2312" w:eastAsia="仿宋_GB2312" w:cs="仿宋_GB2312"/>
          <w:b w:val="0"/>
          <w:bCs w:val="0"/>
          <w:color w:val="auto"/>
          <w:kern w:val="2"/>
          <w:sz w:val="32"/>
          <w:szCs w:val="40"/>
          <w:highlight w:val="none"/>
          <w:u w:val="none"/>
          <w:lang w:val="en-US" w:eastAsia="zh-CN" w:bidi="ar-SA"/>
        </w:rPr>
        <w:t>（二）</w:t>
      </w:r>
      <w:r>
        <w:rPr>
          <w:rFonts w:hint="eastAsia" w:ascii="仿宋_GB2312" w:hAnsi="仿宋_GB2312" w:eastAsia="仿宋_GB2312" w:cs="仿宋_GB2312"/>
          <w:b w:val="0"/>
          <w:bCs w:val="0"/>
          <w:color w:val="auto"/>
          <w:kern w:val="2"/>
          <w:sz w:val="32"/>
          <w:szCs w:val="40"/>
          <w:highlight w:val="none"/>
          <w:u w:val="none"/>
          <w:shd w:val="clear" w:color="auto" w:fill="auto"/>
          <w:lang w:eastAsia="zh-CN"/>
        </w:rPr>
        <w:t>在</w:t>
      </w:r>
      <w:r>
        <w:rPr>
          <w:rFonts w:hint="eastAsia" w:ascii="仿宋_GB2312" w:hAnsi="仿宋_GB2312" w:eastAsia="仿宋_GB2312" w:cs="仿宋_GB2312"/>
          <w:b w:val="0"/>
          <w:bCs w:val="0"/>
          <w:color w:val="auto"/>
          <w:kern w:val="2"/>
          <w:sz w:val="32"/>
          <w:szCs w:val="40"/>
          <w:highlight w:val="none"/>
          <w:u w:val="none"/>
          <w:lang w:val="en-US" w:eastAsia="zh-CN" w:bidi="ar-SA"/>
        </w:rPr>
        <w:t>符合基本申报条件的情况下，国赛金奖项目指导教师（教师排位第一）作为主持人或第一完成人，以该项目相关成果申报项目，可享受以下激励政策：可在未来两年内不占</w:t>
      </w:r>
      <w:r>
        <w:rPr>
          <w:rFonts w:hint="eastAsia" w:ascii="仿宋_GB2312" w:hAnsi="仿宋_GB2312" w:eastAsia="仿宋_GB2312" w:cs="仿宋_GB2312"/>
          <w:color w:val="auto"/>
          <w:kern w:val="2"/>
          <w:sz w:val="32"/>
          <w:szCs w:val="40"/>
          <w:highlight w:val="none"/>
          <w:u w:val="none"/>
          <w:lang w:val="en-US" w:eastAsia="zh-CN" w:bidi="ar-SA"/>
        </w:rPr>
        <w:t>申报名额申报一次省级教学成果奖（创新创业类）；可认定为省级</w:t>
      </w:r>
      <w:r>
        <w:rPr>
          <w:rFonts w:hint="eastAsia" w:ascii="仿宋_GB2312" w:hAnsi="仿宋_GB2312" w:eastAsia="仿宋_GB2312" w:cs="仿宋_GB2312"/>
          <w:color w:val="auto"/>
          <w:sz w:val="32"/>
          <w:szCs w:val="40"/>
          <w:highlight w:val="none"/>
          <w:u w:val="none"/>
        </w:rPr>
        <w:t>教育教学改革研究</w:t>
      </w:r>
      <w:r>
        <w:rPr>
          <w:rFonts w:hint="eastAsia" w:ascii="仿宋_GB2312" w:hAnsi="仿宋_GB2312" w:eastAsia="仿宋_GB2312" w:cs="仿宋_GB2312"/>
          <w:color w:val="auto"/>
          <w:kern w:val="2"/>
          <w:sz w:val="32"/>
          <w:szCs w:val="40"/>
          <w:highlight w:val="none"/>
          <w:u w:val="none"/>
          <w:lang w:val="en-US" w:eastAsia="zh-CN" w:bidi="ar-SA"/>
        </w:rPr>
        <w:t>一般项目</w:t>
      </w:r>
      <w:r>
        <w:rPr>
          <w:rFonts w:hint="eastAsia" w:ascii="仿宋_GB2312" w:hAnsi="仿宋_GB2312" w:eastAsia="仿宋_GB2312" w:cs="仿宋_GB2312"/>
          <w:color w:val="auto"/>
          <w:sz w:val="32"/>
          <w:szCs w:val="40"/>
          <w:highlight w:val="none"/>
          <w:u w:val="none"/>
          <w:lang w:eastAsia="zh-CN"/>
        </w:rPr>
        <w:t>，立项数量限</w:t>
      </w:r>
      <w:r>
        <w:rPr>
          <w:rFonts w:hint="eastAsia" w:ascii="仿宋_GB2312" w:hAnsi="仿宋_GB2312" w:eastAsia="仿宋_GB2312" w:cs="仿宋_GB2312"/>
          <w:color w:val="auto"/>
          <w:sz w:val="32"/>
          <w:szCs w:val="40"/>
          <w:highlight w:val="none"/>
          <w:u w:val="none"/>
          <w:lang w:val="en-US" w:eastAsia="zh-CN"/>
        </w:rPr>
        <w:t>1门；</w:t>
      </w:r>
      <w:r>
        <w:rPr>
          <w:rFonts w:hint="eastAsia" w:ascii="仿宋_GB2312" w:hAnsi="仿宋_GB2312" w:eastAsia="仿宋_GB2312" w:cs="仿宋_GB2312"/>
          <w:color w:val="auto"/>
          <w:sz w:val="32"/>
          <w:szCs w:val="40"/>
          <w:highlight w:val="none"/>
          <w:u w:val="none"/>
          <w:lang w:eastAsia="zh-CN"/>
        </w:rPr>
        <w:t>可不占申报名额申报一次</w:t>
      </w:r>
      <w:r>
        <w:rPr>
          <w:rFonts w:hint="eastAsia" w:ascii="仿宋_GB2312" w:hAnsi="仿宋_GB2312" w:eastAsia="仿宋_GB2312" w:cs="仿宋_GB2312"/>
          <w:color w:val="auto"/>
          <w:sz w:val="32"/>
          <w:szCs w:val="40"/>
          <w:highlight w:val="none"/>
          <w:u w:val="none"/>
        </w:rPr>
        <w:t>省级教育教学改革研究重大项目</w:t>
      </w:r>
      <w:r>
        <w:rPr>
          <w:rFonts w:hint="eastAsia" w:ascii="仿宋_GB2312" w:hAnsi="仿宋_GB2312" w:eastAsia="仿宋_GB2312" w:cs="仿宋_GB2312"/>
          <w:color w:val="auto"/>
          <w:sz w:val="32"/>
          <w:szCs w:val="40"/>
          <w:highlight w:val="none"/>
          <w:u w:val="none"/>
          <w:lang w:eastAsia="zh-CN"/>
        </w:rPr>
        <w:t>；</w:t>
      </w:r>
      <w:r>
        <w:rPr>
          <w:rFonts w:hint="eastAsia" w:ascii="仿宋_GB2312" w:hAnsi="仿宋_GB2312" w:eastAsia="仿宋_GB2312" w:cs="仿宋_GB2312"/>
          <w:color w:val="auto"/>
          <w:sz w:val="32"/>
          <w:szCs w:val="40"/>
          <w:highlight w:val="none"/>
          <w:u w:val="none"/>
          <w:lang w:val="en-US" w:eastAsia="zh-CN"/>
        </w:rPr>
        <w:t>可认定为</w:t>
      </w:r>
      <w:r>
        <w:rPr>
          <w:rFonts w:hint="eastAsia" w:ascii="仿宋_GB2312" w:hAnsi="仿宋_GB2312" w:eastAsia="仿宋_GB2312" w:cs="仿宋_GB2312"/>
          <w:color w:val="auto"/>
          <w:kern w:val="2"/>
          <w:sz w:val="32"/>
          <w:szCs w:val="40"/>
          <w:highlight w:val="none"/>
          <w:u w:val="none"/>
          <w:lang w:val="en-US" w:eastAsia="zh-CN" w:bidi="ar-SA"/>
        </w:rPr>
        <w:t>省级一流本科课程（社会实践类），认定课程限1门；可认定为省级课程思政示范项目，立项数目限1项（限“青年红色筑梦之旅赛道”获奖项目指导教师）；可不占名额申报一次省级高校思想政治工作精品项目（限</w:t>
      </w:r>
      <w:r>
        <w:rPr>
          <w:rFonts w:hint="eastAsia" w:ascii="仿宋_GB2312" w:hAnsi="仿宋_GB2312" w:eastAsia="仿宋_GB2312" w:cs="仿宋_GB2312"/>
          <w:color w:val="auto"/>
          <w:sz w:val="32"/>
          <w:szCs w:val="40"/>
          <w:highlight w:val="none"/>
          <w:u w:val="none"/>
          <w:lang w:val="en-US" w:eastAsia="zh-CN"/>
        </w:rPr>
        <w:t>“青年红色筑梦之旅赛道”获奖项目指导教师）。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u w:val="none"/>
          <w:lang w:eastAsia="zh-CN"/>
        </w:rPr>
      </w:pPr>
      <w:r>
        <w:rPr>
          <w:rFonts w:hint="eastAsia" w:ascii="仿宋_GB2312" w:hAnsi="仿宋_GB2312" w:eastAsia="仿宋_GB2312" w:cs="仿宋_GB2312"/>
          <w:b w:val="0"/>
          <w:bCs w:val="0"/>
          <w:color w:val="auto"/>
          <w:sz w:val="32"/>
          <w:szCs w:val="40"/>
          <w:highlight w:val="none"/>
          <w:u w:val="none"/>
          <w:lang w:val="en-US" w:eastAsia="zh-CN"/>
        </w:rPr>
        <w:t>（三）</w:t>
      </w:r>
      <w:r>
        <w:rPr>
          <w:rFonts w:hint="eastAsia" w:ascii="仿宋_GB2312" w:hAnsi="仿宋_GB2312" w:eastAsia="仿宋_GB2312" w:cs="仿宋_GB2312"/>
          <w:color w:val="auto"/>
          <w:kern w:val="0"/>
          <w:sz w:val="32"/>
          <w:szCs w:val="32"/>
          <w:highlight w:val="none"/>
          <w:u w:val="none"/>
          <w:shd w:val="clear" w:color="auto" w:fill="FFFFFF"/>
          <w:lang w:eastAsia="zh-CN"/>
        </w:rPr>
        <w:t>在</w:t>
      </w:r>
      <w:r>
        <w:rPr>
          <w:rFonts w:hint="eastAsia" w:ascii="仿宋_GB2312" w:hAnsi="仿宋_GB2312" w:eastAsia="仿宋_GB2312" w:cs="仿宋_GB2312"/>
          <w:color w:val="auto"/>
          <w:kern w:val="2"/>
          <w:sz w:val="32"/>
          <w:szCs w:val="40"/>
          <w:highlight w:val="none"/>
          <w:u w:val="none"/>
          <w:lang w:val="en-US" w:eastAsia="zh-CN" w:bidi="ar-SA"/>
        </w:rPr>
        <w:t>符合基本申报条件的情况下，</w:t>
      </w:r>
      <w:r>
        <w:rPr>
          <w:rFonts w:hint="eastAsia" w:ascii="仿宋_GB2312" w:hAnsi="仿宋_GB2312" w:eastAsia="仿宋_GB2312" w:cs="仿宋_GB2312"/>
          <w:b w:val="0"/>
          <w:bCs w:val="0"/>
          <w:color w:val="auto"/>
          <w:sz w:val="32"/>
          <w:szCs w:val="40"/>
          <w:highlight w:val="none"/>
          <w:u w:val="none"/>
          <w:lang w:val="en-US" w:eastAsia="zh-CN"/>
        </w:rPr>
        <w:t>国赛银奖项目指导教师（教师排位第一）</w:t>
      </w:r>
      <w:r>
        <w:rPr>
          <w:rFonts w:hint="eastAsia" w:ascii="仿宋_GB2312" w:hAnsi="仿宋_GB2312" w:eastAsia="仿宋_GB2312" w:cs="仿宋_GB2312"/>
          <w:color w:val="auto"/>
          <w:kern w:val="2"/>
          <w:sz w:val="32"/>
          <w:szCs w:val="40"/>
          <w:highlight w:val="none"/>
          <w:u w:val="none"/>
          <w:lang w:val="en-US" w:eastAsia="zh-CN" w:bidi="ar-SA"/>
        </w:rPr>
        <w:t>作为主持人或第一完成人，以该项目相关成果申报项目，可享受以下激励政策：</w:t>
      </w:r>
      <w:r>
        <w:rPr>
          <w:rFonts w:hint="eastAsia" w:ascii="仿宋_GB2312" w:hAnsi="仿宋_GB2312" w:eastAsia="仿宋_GB2312" w:cs="仿宋_GB2312"/>
          <w:color w:val="auto"/>
          <w:sz w:val="32"/>
          <w:szCs w:val="40"/>
          <w:highlight w:val="none"/>
          <w:u w:val="none"/>
          <w:lang w:val="en-US" w:eastAsia="zh-CN"/>
        </w:rPr>
        <w:t>可不占名额申报一次</w:t>
      </w:r>
      <w:r>
        <w:rPr>
          <w:rFonts w:hint="eastAsia" w:ascii="仿宋_GB2312" w:hAnsi="仿宋_GB2312" w:eastAsia="仿宋_GB2312" w:cs="仿宋_GB2312"/>
          <w:color w:val="auto"/>
          <w:kern w:val="2"/>
          <w:sz w:val="32"/>
          <w:szCs w:val="40"/>
          <w:highlight w:val="none"/>
          <w:u w:val="none"/>
          <w:lang w:val="en-US" w:eastAsia="zh-CN" w:bidi="ar-SA"/>
        </w:rPr>
        <w:t>省级</w:t>
      </w:r>
      <w:r>
        <w:rPr>
          <w:rFonts w:hint="eastAsia" w:ascii="仿宋_GB2312" w:hAnsi="仿宋_GB2312" w:eastAsia="仿宋_GB2312" w:cs="仿宋_GB2312"/>
          <w:color w:val="auto"/>
          <w:sz w:val="32"/>
          <w:szCs w:val="40"/>
          <w:highlight w:val="none"/>
          <w:u w:val="none"/>
        </w:rPr>
        <w:t>教育教学改革研究</w:t>
      </w:r>
      <w:r>
        <w:rPr>
          <w:rFonts w:hint="eastAsia" w:ascii="仿宋_GB2312" w:hAnsi="仿宋_GB2312" w:eastAsia="仿宋_GB2312" w:cs="仿宋_GB2312"/>
          <w:color w:val="auto"/>
          <w:kern w:val="2"/>
          <w:sz w:val="32"/>
          <w:szCs w:val="40"/>
          <w:highlight w:val="none"/>
          <w:u w:val="none"/>
          <w:lang w:val="en-US" w:eastAsia="zh-CN" w:bidi="ar-SA"/>
        </w:rPr>
        <w:t>一般项目</w:t>
      </w:r>
      <w:r>
        <w:rPr>
          <w:rFonts w:hint="eastAsia" w:ascii="仿宋_GB2312" w:hAnsi="仿宋_GB2312" w:eastAsia="仿宋_GB2312" w:cs="仿宋_GB2312"/>
          <w:color w:val="auto"/>
          <w:sz w:val="32"/>
          <w:szCs w:val="40"/>
          <w:highlight w:val="none"/>
          <w:u w:val="none"/>
          <w:lang w:eastAsia="zh-CN"/>
        </w:rPr>
        <w:t>；</w:t>
      </w:r>
      <w:r>
        <w:rPr>
          <w:rFonts w:hint="eastAsia" w:ascii="仿宋_GB2312" w:hAnsi="仿宋_GB2312" w:eastAsia="仿宋_GB2312" w:cs="仿宋_GB2312"/>
          <w:color w:val="auto"/>
          <w:sz w:val="32"/>
          <w:szCs w:val="40"/>
          <w:highlight w:val="none"/>
          <w:u w:val="none"/>
          <w:lang w:val="en-US" w:eastAsia="zh-CN"/>
        </w:rPr>
        <w:t>可不占名额申报一次</w:t>
      </w:r>
      <w:r>
        <w:rPr>
          <w:rFonts w:hint="eastAsia" w:ascii="仿宋_GB2312" w:hAnsi="仿宋_GB2312" w:eastAsia="仿宋_GB2312" w:cs="仿宋_GB2312"/>
          <w:color w:val="auto"/>
          <w:kern w:val="2"/>
          <w:sz w:val="32"/>
          <w:szCs w:val="40"/>
          <w:highlight w:val="none"/>
          <w:u w:val="none"/>
          <w:lang w:val="en-US" w:eastAsia="zh-CN" w:bidi="ar-SA"/>
        </w:rPr>
        <w:t>省级一流本科课程（社会实践类）；可不占名额申报一次省级课程思政示范项目或省级高校思想政治工作精品项目（限</w:t>
      </w:r>
      <w:r>
        <w:rPr>
          <w:rFonts w:hint="eastAsia" w:ascii="仿宋_GB2312" w:hAnsi="仿宋_GB2312" w:eastAsia="仿宋_GB2312" w:cs="仿宋_GB2312"/>
          <w:color w:val="auto"/>
          <w:sz w:val="32"/>
          <w:szCs w:val="40"/>
          <w:highlight w:val="none"/>
          <w:u w:val="none"/>
          <w:lang w:val="en-US" w:eastAsia="zh-CN"/>
        </w:rPr>
        <w:t>“青年红色筑梦之旅赛道”获奖项目指导教师)；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40"/>
          <w:highlight w:val="none"/>
          <w:u w:val="none"/>
          <w:lang w:eastAsia="zh-CN"/>
        </w:rPr>
      </w:pPr>
      <w:r>
        <w:rPr>
          <w:rFonts w:hint="eastAsia" w:ascii="仿宋_GB2312" w:hAnsi="仿宋_GB2312" w:eastAsia="仿宋_GB2312" w:cs="仿宋_GB2312"/>
          <w:color w:val="auto"/>
          <w:sz w:val="32"/>
          <w:szCs w:val="40"/>
          <w:highlight w:val="none"/>
          <w:u w:val="none"/>
          <w:lang w:val="en-US" w:eastAsia="zh-CN"/>
        </w:rPr>
        <w:t>（四）</w:t>
      </w:r>
      <w:r>
        <w:rPr>
          <w:rFonts w:hint="eastAsia" w:ascii="仿宋_GB2312" w:hAnsi="仿宋_GB2312" w:eastAsia="仿宋_GB2312" w:cs="仿宋_GB2312"/>
          <w:color w:val="auto"/>
          <w:kern w:val="0"/>
          <w:sz w:val="32"/>
          <w:szCs w:val="32"/>
          <w:highlight w:val="none"/>
          <w:u w:val="none"/>
          <w:shd w:val="clear" w:color="auto" w:fill="FFFFFF"/>
          <w:lang w:eastAsia="zh-CN"/>
        </w:rPr>
        <w:t>在</w:t>
      </w:r>
      <w:r>
        <w:rPr>
          <w:rFonts w:hint="eastAsia" w:ascii="仿宋_GB2312" w:hAnsi="仿宋_GB2312" w:eastAsia="仿宋_GB2312" w:cs="仿宋_GB2312"/>
          <w:color w:val="auto"/>
          <w:kern w:val="2"/>
          <w:sz w:val="32"/>
          <w:szCs w:val="40"/>
          <w:highlight w:val="none"/>
          <w:u w:val="none"/>
          <w:lang w:val="en-US" w:eastAsia="zh-CN" w:bidi="ar-SA"/>
        </w:rPr>
        <w:t>符合基本申报条件的情况下</w:t>
      </w:r>
      <w:r>
        <w:rPr>
          <w:rFonts w:hint="eastAsia" w:ascii="仿宋_GB2312" w:hAnsi="仿宋_GB2312" w:eastAsia="仿宋_GB2312" w:cs="仿宋_GB2312"/>
          <w:color w:val="auto"/>
          <w:sz w:val="32"/>
          <w:szCs w:val="40"/>
          <w:highlight w:val="none"/>
          <w:u w:val="none"/>
          <w:lang w:eastAsia="zh-CN"/>
        </w:rPr>
        <w:t>，</w:t>
      </w:r>
      <w:r>
        <w:rPr>
          <w:rFonts w:hint="eastAsia" w:ascii="仿宋_GB2312" w:hAnsi="仿宋_GB2312" w:eastAsia="仿宋_GB2312" w:cs="仿宋_GB2312"/>
          <w:color w:val="auto"/>
          <w:sz w:val="32"/>
          <w:szCs w:val="40"/>
          <w:highlight w:val="none"/>
          <w:u w:val="none"/>
        </w:rPr>
        <w:t>国赛</w:t>
      </w:r>
      <w:r>
        <w:rPr>
          <w:rFonts w:hint="eastAsia" w:ascii="仿宋_GB2312" w:hAnsi="仿宋_GB2312" w:eastAsia="仿宋_GB2312" w:cs="仿宋_GB2312"/>
          <w:color w:val="auto"/>
          <w:sz w:val="32"/>
          <w:szCs w:val="40"/>
          <w:highlight w:val="none"/>
          <w:u w:val="none"/>
          <w:lang w:eastAsia="zh-CN"/>
        </w:rPr>
        <w:t>金、银奖项目</w:t>
      </w:r>
      <w:r>
        <w:rPr>
          <w:rFonts w:hint="eastAsia" w:ascii="仿宋_GB2312" w:hAnsi="仿宋_GB2312" w:eastAsia="仿宋_GB2312" w:cs="仿宋_GB2312"/>
          <w:color w:val="auto"/>
          <w:sz w:val="32"/>
          <w:szCs w:val="40"/>
          <w:highlight w:val="none"/>
          <w:u w:val="none"/>
        </w:rPr>
        <w:t>指导教师（金奖排位前二，银奖排位第一）</w:t>
      </w:r>
      <w:r>
        <w:rPr>
          <w:rFonts w:hint="eastAsia" w:ascii="仿宋_GB2312" w:hAnsi="仿宋_GB2312" w:eastAsia="仿宋_GB2312" w:cs="仿宋_GB2312"/>
          <w:color w:val="auto"/>
          <w:sz w:val="32"/>
          <w:szCs w:val="40"/>
          <w:highlight w:val="none"/>
          <w:u w:val="none"/>
          <w:lang w:eastAsia="zh-CN"/>
        </w:rPr>
        <w:t>，</w:t>
      </w:r>
      <w:r>
        <w:rPr>
          <w:rFonts w:hint="eastAsia" w:ascii="仿宋_GB2312" w:hAnsi="仿宋_GB2312" w:eastAsia="仿宋_GB2312" w:cs="仿宋_GB2312"/>
          <w:b w:val="0"/>
          <w:bCs w:val="0"/>
          <w:color w:val="auto"/>
          <w:sz w:val="32"/>
          <w:szCs w:val="40"/>
          <w:highlight w:val="none"/>
          <w:u w:val="none"/>
          <w:lang w:eastAsia="zh-CN"/>
        </w:rPr>
        <w:t>可不占名额优先推荐申报为闽江学者。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u w:val="none"/>
          <w:lang w:eastAsia="zh-CN"/>
        </w:rPr>
      </w:pPr>
      <w:r>
        <w:rPr>
          <w:rFonts w:hint="eastAsia" w:ascii="仿宋_GB2312" w:hAnsi="仿宋_GB2312" w:eastAsia="仿宋_GB2312" w:cs="仿宋_GB2312"/>
          <w:b w:val="0"/>
          <w:bCs w:val="0"/>
          <w:color w:val="auto"/>
          <w:sz w:val="32"/>
          <w:szCs w:val="40"/>
          <w:highlight w:val="none"/>
          <w:u w:val="none"/>
          <w:lang w:val="en-US" w:eastAsia="zh-CN"/>
        </w:rPr>
        <w:t>（五）</w:t>
      </w:r>
      <w:r>
        <w:rPr>
          <w:rFonts w:hint="eastAsia" w:ascii="仿宋_GB2312" w:hAnsi="仿宋_GB2312" w:eastAsia="仿宋_GB2312" w:cs="仿宋_GB2312"/>
          <w:color w:val="auto"/>
          <w:kern w:val="0"/>
          <w:sz w:val="32"/>
          <w:szCs w:val="32"/>
          <w:highlight w:val="none"/>
          <w:u w:val="none"/>
          <w:shd w:val="clear" w:color="auto" w:fill="FFFFFF"/>
        </w:rPr>
        <w:t>支持学校对国赛、省赛获奖项目指导教师在工作量认定、年度考核、职称评审、评优评先等方面给予倾斜</w:t>
      </w:r>
      <w:r>
        <w:rPr>
          <w:rFonts w:hint="eastAsia" w:ascii="仿宋_GB2312" w:hAnsi="仿宋_GB2312" w:eastAsia="仿宋_GB2312" w:cs="仿宋_GB2312"/>
          <w:color w:val="auto"/>
          <w:kern w:val="0"/>
          <w:sz w:val="32"/>
          <w:szCs w:val="32"/>
          <w:highlight w:val="none"/>
          <w:u w:val="none"/>
          <w:shd w:val="clear" w:color="auto" w:fill="FFFFFF"/>
          <w:lang w:eastAsia="zh-CN"/>
        </w:rPr>
        <w:t>，</w:t>
      </w:r>
      <w:r>
        <w:rPr>
          <w:rFonts w:hint="eastAsia" w:ascii="仿宋_GB2312" w:hAnsi="仿宋_GB2312" w:eastAsia="仿宋_GB2312" w:cs="仿宋_GB2312"/>
          <w:color w:val="auto"/>
          <w:kern w:val="0"/>
          <w:sz w:val="32"/>
          <w:szCs w:val="32"/>
          <w:highlight w:val="none"/>
          <w:u w:val="none"/>
          <w:shd w:val="clear" w:color="auto" w:fill="FFFFFF"/>
        </w:rPr>
        <w:t>国赛金奖项目排位第一</w:t>
      </w:r>
      <w:r>
        <w:rPr>
          <w:rFonts w:hint="eastAsia" w:ascii="仿宋_GB2312" w:hAnsi="仿宋_GB2312" w:eastAsia="仿宋_GB2312" w:cs="仿宋_GB2312"/>
          <w:color w:val="auto"/>
          <w:kern w:val="0"/>
          <w:sz w:val="32"/>
          <w:szCs w:val="32"/>
          <w:highlight w:val="none"/>
          <w:u w:val="none"/>
          <w:shd w:val="clear" w:color="auto" w:fill="FFFFFF"/>
          <w:lang w:eastAsia="zh-CN"/>
        </w:rPr>
        <w:t>的</w:t>
      </w:r>
      <w:r>
        <w:rPr>
          <w:rFonts w:hint="eastAsia" w:ascii="仿宋_GB2312" w:hAnsi="仿宋_GB2312" w:eastAsia="仿宋_GB2312" w:cs="仿宋_GB2312"/>
          <w:color w:val="auto"/>
          <w:kern w:val="0"/>
          <w:sz w:val="32"/>
          <w:szCs w:val="32"/>
          <w:highlight w:val="none"/>
          <w:u w:val="none"/>
          <w:shd w:val="clear" w:color="auto" w:fill="FFFFFF"/>
        </w:rPr>
        <w:t>指导教师</w:t>
      </w:r>
      <w:r>
        <w:rPr>
          <w:rFonts w:hint="eastAsia" w:ascii="仿宋_GB2312" w:hAnsi="仿宋_GB2312" w:eastAsia="仿宋_GB2312" w:cs="仿宋_GB2312"/>
          <w:color w:val="auto"/>
          <w:kern w:val="0"/>
          <w:sz w:val="32"/>
          <w:szCs w:val="32"/>
          <w:highlight w:val="none"/>
          <w:u w:val="none"/>
          <w:shd w:val="clear" w:color="auto" w:fill="FFFFFF"/>
          <w:lang w:eastAsia="zh-CN"/>
        </w:rPr>
        <w:t>在同等条件下应优先考虑</w:t>
      </w:r>
      <w:r>
        <w:rPr>
          <w:rFonts w:hint="eastAsia" w:ascii="仿宋_GB2312" w:hAnsi="仿宋_GB2312" w:eastAsia="仿宋_GB2312" w:cs="仿宋_GB2312"/>
          <w:color w:val="auto"/>
          <w:kern w:val="0"/>
          <w:sz w:val="32"/>
          <w:szCs w:val="32"/>
          <w:highlight w:val="none"/>
          <w:u w:val="none"/>
          <w:shd w:val="clear" w:color="auto" w:fill="FFFFFF"/>
        </w:rPr>
        <w:t>。</w:t>
      </w:r>
      <w:r>
        <w:rPr>
          <w:rFonts w:hint="eastAsia" w:ascii="仿宋_GB2312" w:hAnsi="仿宋_GB2312" w:eastAsia="仿宋_GB2312" w:cs="仿宋_GB2312"/>
          <w:color w:val="auto"/>
          <w:kern w:val="0"/>
          <w:sz w:val="32"/>
          <w:szCs w:val="32"/>
          <w:highlight w:val="none"/>
          <w:u w:val="none"/>
          <w:shd w:val="clear" w:color="auto" w:fill="FFFFFF"/>
          <w:lang w:eastAsia="zh-CN"/>
        </w:rPr>
        <w:t>学校应对</w:t>
      </w:r>
      <w:r>
        <w:rPr>
          <w:rFonts w:hint="eastAsia" w:ascii="仿宋_GB2312" w:hAnsi="仿宋_GB2312" w:eastAsia="仿宋_GB2312" w:cs="仿宋_GB2312"/>
          <w:color w:val="auto"/>
          <w:kern w:val="0"/>
          <w:sz w:val="32"/>
          <w:szCs w:val="32"/>
          <w:highlight w:val="none"/>
          <w:u w:val="none"/>
          <w:shd w:val="clear" w:color="auto" w:fill="FFFFFF"/>
        </w:rPr>
        <w:t>国赛、省赛获奖项目指导老师（</w:t>
      </w:r>
      <w:r>
        <w:rPr>
          <w:rFonts w:hint="eastAsia" w:ascii="仿宋_GB2312" w:hAnsi="仿宋_GB2312" w:eastAsia="仿宋_GB2312" w:cs="仿宋_GB2312"/>
          <w:color w:val="auto"/>
          <w:kern w:val="0"/>
          <w:sz w:val="32"/>
          <w:szCs w:val="32"/>
          <w:highlight w:val="none"/>
          <w:u w:val="none"/>
          <w:shd w:val="clear" w:color="auto" w:fill="FFFFFF"/>
          <w:lang w:eastAsia="zh-CN"/>
        </w:rPr>
        <w:t>教师</w:t>
      </w:r>
      <w:r>
        <w:rPr>
          <w:rFonts w:hint="eastAsia" w:ascii="仿宋_GB2312" w:hAnsi="仿宋_GB2312" w:eastAsia="仿宋_GB2312" w:cs="仿宋_GB2312"/>
          <w:color w:val="auto"/>
          <w:kern w:val="0"/>
          <w:sz w:val="32"/>
          <w:szCs w:val="32"/>
          <w:highlight w:val="none"/>
          <w:u w:val="none"/>
          <w:shd w:val="clear" w:color="auto" w:fill="FFFFFF"/>
        </w:rPr>
        <w:t>排位前三），按获奖等级计算相应的教学或科研工作量</w:t>
      </w:r>
      <w:r>
        <w:rPr>
          <w:rFonts w:hint="eastAsia" w:ascii="仿宋_GB2312" w:hAnsi="仿宋_GB2312" w:eastAsia="仿宋_GB2312" w:cs="仿宋_GB2312"/>
          <w:color w:val="auto"/>
          <w:kern w:val="0"/>
          <w:sz w:val="32"/>
          <w:szCs w:val="32"/>
          <w:highlight w:val="none"/>
          <w:u w:val="none"/>
          <w:shd w:val="clear" w:color="auto" w:fill="FFFFFF"/>
          <w:lang w:eastAsia="zh-CN"/>
        </w:rPr>
        <w:t>。</w:t>
      </w:r>
      <w:r>
        <w:rPr>
          <w:rFonts w:hint="eastAsia" w:ascii="仿宋_GB2312" w:hAnsi="仿宋_GB2312" w:eastAsia="仿宋_GB2312" w:cs="仿宋_GB2312"/>
          <w:color w:val="auto"/>
          <w:sz w:val="32"/>
          <w:szCs w:val="40"/>
          <w:highlight w:val="none"/>
          <w:u w:val="none"/>
        </w:rPr>
        <w:t>鼓励学校将国赛金奖、银奖分别参照省级教学成果特等奖、一等奖同等对待。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highlight w:val="none"/>
          <w:u w:val="none"/>
        </w:rPr>
      </w:pPr>
      <w:r>
        <w:rPr>
          <w:rFonts w:hint="eastAsia" w:ascii="仿宋_GB2312" w:hAnsi="仿宋_GB2312" w:eastAsia="仿宋_GB2312" w:cs="仿宋_GB2312"/>
          <w:color w:val="auto"/>
          <w:sz w:val="32"/>
          <w:szCs w:val="40"/>
          <w:highlight w:val="none"/>
          <w:u w:val="none"/>
          <w:lang w:eastAsia="zh-CN"/>
        </w:rPr>
        <w:t>（六）</w:t>
      </w:r>
      <w:r>
        <w:rPr>
          <w:rFonts w:hint="eastAsia" w:ascii="仿宋_GB2312" w:hAnsi="仿宋_GB2312" w:eastAsia="仿宋_GB2312" w:cs="仿宋_GB2312"/>
          <w:color w:val="auto"/>
          <w:sz w:val="32"/>
          <w:szCs w:val="40"/>
          <w:highlight w:val="none"/>
          <w:u w:val="none"/>
        </w:rPr>
        <w:t>鼓励具备推荐免试攻读硕士研究生资格的本科高校，将学生国赛、省赛获奖情况纳入学校推免生遴选指标体系。国赛金奖、银奖项目指导教师，若具备研究生导师资格，鼓励学校在安排下一年研究生招生指标时对该导师予以倾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40"/>
          <w:highlight w:val="none"/>
          <w:u w:val="none"/>
          <w:lang w:eastAsia="zh-CN"/>
        </w:rPr>
      </w:pPr>
      <w:r>
        <w:rPr>
          <w:rFonts w:hint="eastAsia" w:ascii="仿宋_GB2312" w:hAnsi="仿宋_GB2312" w:eastAsia="仿宋_GB2312" w:cs="仿宋_GB2312"/>
          <w:color w:val="auto"/>
          <w:sz w:val="32"/>
          <w:szCs w:val="40"/>
          <w:highlight w:val="none"/>
          <w:u w:val="none"/>
          <w:lang w:eastAsia="zh-CN"/>
        </w:rPr>
        <w:t>（七）</w:t>
      </w:r>
      <w:r>
        <w:rPr>
          <w:rFonts w:hint="eastAsia" w:ascii="仿宋_GB2312" w:hAnsi="仿宋_GB2312" w:eastAsia="仿宋_GB2312" w:cs="仿宋_GB2312"/>
          <w:color w:val="auto"/>
          <w:sz w:val="32"/>
          <w:szCs w:val="40"/>
          <w:highlight w:val="none"/>
          <w:u w:val="none"/>
        </w:rPr>
        <w:t>萌芽赛道</w:t>
      </w:r>
      <w:r>
        <w:rPr>
          <w:rFonts w:hint="eastAsia" w:ascii="仿宋_GB2312" w:hAnsi="仿宋_GB2312" w:eastAsia="仿宋_GB2312" w:cs="仿宋_GB2312"/>
          <w:color w:val="auto"/>
          <w:sz w:val="32"/>
          <w:szCs w:val="40"/>
          <w:highlight w:val="none"/>
          <w:u w:val="none"/>
          <w:lang w:eastAsia="zh-CN"/>
        </w:rPr>
        <w:t>按照“</w:t>
      </w:r>
      <w:r>
        <w:rPr>
          <w:rFonts w:hint="eastAsia" w:ascii="仿宋_GB2312" w:hAnsi="仿宋_GB2312" w:eastAsia="仿宋_GB2312" w:cs="仿宋_GB2312"/>
          <w:color w:val="auto"/>
          <w:sz w:val="32"/>
          <w:szCs w:val="40"/>
          <w:highlight w:val="none"/>
          <w:u w:val="none"/>
        </w:rPr>
        <w:t>国</w:t>
      </w:r>
      <w:r>
        <w:rPr>
          <w:rFonts w:hint="eastAsia" w:ascii="仿宋_GB2312" w:hAnsi="仿宋_GB2312" w:eastAsia="仿宋_GB2312" w:cs="仿宋_GB2312"/>
          <w:color w:val="auto"/>
          <w:sz w:val="32"/>
          <w:szCs w:val="40"/>
          <w:highlight w:val="none"/>
          <w:u w:val="none"/>
          <w:lang w:eastAsia="zh-CN"/>
        </w:rPr>
        <w:t>赛</w:t>
      </w:r>
      <w:r>
        <w:rPr>
          <w:rFonts w:hint="eastAsia" w:ascii="仿宋_GB2312" w:hAnsi="仿宋_GB2312" w:eastAsia="仿宋_GB2312" w:cs="仿宋_GB2312"/>
          <w:color w:val="auto"/>
          <w:sz w:val="32"/>
          <w:szCs w:val="40"/>
          <w:highlight w:val="none"/>
          <w:u w:val="none"/>
        </w:rPr>
        <w:t>创新潜力奖等同于国</w:t>
      </w:r>
      <w:r>
        <w:rPr>
          <w:rFonts w:hint="eastAsia" w:ascii="仿宋_GB2312" w:hAnsi="仿宋_GB2312" w:eastAsia="仿宋_GB2312" w:cs="仿宋_GB2312"/>
          <w:color w:val="auto"/>
          <w:sz w:val="32"/>
          <w:szCs w:val="40"/>
          <w:highlight w:val="none"/>
          <w:u w:val="none"/>
          <w:lang w:eastAsia="zh-CN"/>
        </w:rPr>
        <w:t>赛</w:t>
      </w:r>
      <w:r>
        <w:rPr>
          <w:rFonts w:hint="eastAsia" w:ascii="仿宋_GB2312" w:hAnsi="仿宋_GB2312" w:eastAsia="仿宋_GB2312" w:cs="仿宋_GB2312"/>
          <w:color w:val="auto"/>
          <w:sz w:val="32"/>
          <w:szCs w:val="40"/>
          <w:highlight w:val="none"/>
          <w:u w:val="none"/>
        </w:rPr>
        <w:t>金奖</w:t>
      </w:r>
      <w:r>
        <w:rPr>
          <w:rFonts w:hint="eastAsia" w:ascii="仿宋_GB2312" w:hAnsi="仿宋_GB2312" w:eastAsia="仿宋_GB2312" w:cs="仿宋_GB2312"/>
          <w:color w:val="auto"/>
          <w:sz w:val="32"/>
          <w:szCs w:val="40"/>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省级创新潜力奖等同于省级金奖，省级创新鼓励奖等同于省级银奖，省级创新入围奖等同于省级铜奖</w:t>
      </w:r>
      <w:r>
        <w:rPr>
          <w:rFonts w:hint="eastAsia" w:ascii="仿宋_GB2312" w:hAnsi="仿宋_GB2312" w:eastAsia="仿宋_GB2312" w:cs="仿宋_GB2312"/>
          <w:color w:val="auto"/>
          <w:sz w:val="32"/>
          <w:szCs w:val="40"/>
          <w:highlight w:val="none"/>
          <w:u w:val="none"/>
          <w:lang w:eastAsia="zh-CN"/>
        </w:rPr>
        <w:t>”的原则进行激励。</w:t>
      </w:r>
      <w:r>
        <w:rPr>
          <w:rFonts w:hint="eastAsia" w:ascii="仿宋_GB2312" w:hAnsi="仿宋_GB2312" w:eastAsia="仿宋_GB2312" w:cs="仿宋_GB2312"/>
          <w:i w:val="0"/>
          <w:iCs w:val="0"/>
          <w:color w:val="auto"/>
          <w:sz w:val="32"/>
          <w:szCs w:val="40"/>
          <w:highlight w:val="none"/>
          <w:u w:val="none"/>
        </w:rPr>
        <w:t>萌芽赛道省级创新潜力奖及以上等级获奖项目，指导老师</w:t>
      </w:r>
      <w:r>
        <w:rPr>
          <w:rFonts w:hint="eastAsia" w:ascii="仿宋_GB2312" w:hAnsi="仿宋_GB2312" w:eastAsia="仿宋_GB2312" w:cs="仿宋_GB2312"/>
          <w:i w:val="0"/>
          <w:iCs w:val="0"/>
          <w:color w:val="auto"/>
          <w:sz w:val="32"/>
          <w:szCs w:val="40"/>
          <w:highlight w:val="none"/>
          <w:u w:val="none"/>
          <w:lang w:eastAsia="zh-CN"/>
        </w:rPr>
        <w:t>（教师排位前三）</w:t>
      </w:r>
      <w:r>
        <w:rPr>
          <w:rFonts w:hint="eastAsia" w:ascii="仿宋_GB2312" w:hAnsi="仿宋_GB2312" w:eastAsia="仿宋_GB2312" w:cs="仿宋_GB2312"/>
          <w:i w:val="0"/>
          <w:iCs w:val="0"/>
          <w:color w:val="auto"/>
          <w:sz w:val="32"/>
          <w:szCs w:val="40"/>
          <w:highlight w:val="none"/>
          <w:u w:val="none"/>
        </w:rPr>
        <w:t>认定为承担一节省级公开课；省级创新鼓励奖及创新入围奖项目，其指导老师</w:t>
      </w:r>
      <w:r>
        <w:rPr>
          <w:rFonts w:hint="eastAsia" w:ascii="仿宋_GB2312" w:hAnsi="仿宋_GB2312" w:eastAsia="仿宋_GB2312" w:cs="仿宋_GB2312"/>
          <w:i w:val="0"/>
          <w:iCs w:val="0"/>
          <w:color w:val="auto"/>
          <w:sz w:val="32"/>
          <w:szCs w:val="40"/>
          <w:highlight w:val="none"/>
          <w:u w:val="none"/>
          <w:lang w:eastAsia="zh-CN"/>
        </w:rPr>
        <w:t>（教师排位前三）</w:t>
      </w:r>
      <w:r>
        <w:rPr>
          <w:rFonts w:hint="eastAsia" w:ascii="仿宋_GB2312" w:hAnsi="仿宋_GB2312" w:eastAsia="仿宋_GB2312" w:cs="仿宋_GB2312"/>
          <w:i w:val="0"/>
          <w:iCs w:val="0"/>
          <w:color w:val="auto"/>
          <w:sz w:val="32"/>
          <w:szCs w:val="40"/>
          <w:highlight w:val="none"/>
          <w:u w:val="none"/>
        </w:rPr>
        <w:t>认定为承担一节市级公开课。</w:t>
      </w:r>
    </w:p>
    <w:p>
      <w:pPr>
        <w:spacing w:line="560" w:lineRule="exact"/>
        <w:ind w:firstLine="640" w:firstLineChars="200"/>
        <w:rPr>
          <w:rFonts w:hint="eastAsia" w:ascii="黑体" w:hAnsi="黑体" w:eastAsia="黑体" w:cs="黑体"/>
          <w:color w:val="auto"/>
          <w:sz w:val="32"/>
          <w:szCs w:val="24"/>
          <w:highlight w:val="none"/>
          <w:u w:val="none"/>
          <w:lang w:eastAsia="zh-CN"/>
        </w:rPr>
      </w:pPr>
      <w:r>
        <w:rPr>
          <w:rFonts w:hint="eastAsia" w:ascii="黑体" w:hAnsi="黑体" w:eastAsia="黑体" w:cs="黑体"/>
          <w:color w:val="auto"/>
          <w:sz w:val="32"/>
          <w:szCs w:val="24"/>
          <w:highlight w:val="none"/>
          <w:u w:val="none"/>
          <w:lang w:eastAsia="zh-CN"/>
        </w:rPr>
        <w:t>三、参赛学生激励</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sz w:val="32"/>
          <w:szCs w:val="40"/>
          <w:highlight w:val="none"/>
          <w:u w:val="none"/>
          <w:lang w:val="en-US" w:eastAsia="zh-CN"/>
        </w:rPr>
      </w:pPr>
      <w:r>
        <w:rPr>
          <w:rFonts w:hint="eastAsia" w:ascii="仿宋_GB2312" w:hAnsi="仿宋_GB2312" w:eastAsia="仿宋_GB2312" w:cs="仿宋_GB2312"/>
          <w:color w:val="auto"/>
          <w:kern w:val="2"/>
          <w:sz w:val="32"/>
          <w:szCs w:val="40"/>
          <w:highlight w:val="none"/>
          <w:u w:val="none"/>
          <w:lang w:eastAsia="zh-CN"/>
        </w:rPr>
        <w:t>（八）符合基本条件情况下，所有获得国赛金奖、银奖、铜奖项目和省赛金奖项目团队成员可以直接认定创新创业类课程学分，学生所获奖励可计入个人科研成果。</w:t>
      </w:r>
    </w:p>
    <w:p>
      <w:pPr>
        <w:widowControl/>
        <w:spacing w:line="560" w:lineRule="exact"/>
        <w:ind w:firstLine="640" w:firstLineChars="200"/>
        <w:rPr>
          <w:rFonts w:hint="eastAsia" w:eastAsia="仿宋_GB2312"/>
          <w:sz w:val="32"/>
        </w:rPr>
      </w:pPr>
      <w:r>
        <w:rPr>
          <w:rFonts w:hint="eastAsia" w:ascii="仿宋_GB2312" w:hAnsi="仿宋_GB2312" w:eastAsia="仿宋_GB2312" w:cs="仿宋_GB2312"/>
          <w:color w:val="auto"/>
          <w:sz w:val="32"/>
          <w:szCs w:val="40"/>
          <w:highlight w:val="none"/>
          <w:u w:val="none"/>
          <w:lang w:val="en-US" w:eastAsia="zh-CN"/>
        </w:rPr>
        <w:t>（九）</w:t>
      </w:r>
      <w:r>
        <w:rPr>
          <w:rFonts w:hint="eastAsia" w:ascii="仿宋_GB2312" w:hAnsi="仿宋_GB2312" w:eastAsia="仿宋_GB2312" w:cs="仿宋_GB2312"/>
          <w:color w:val="auto"/>
          <w:kern w:val="2"/>
          <w:sz w:val="32"/>
          <w:szCs w:val="40"/>
          <w:highlight w:val="none"/>
          <w:u w:val="none"/>
          <w:lang w:eastAsia="zh-CN"/>
        </w:rPr>
        <w:t>符合基本条件情况下，获得国赛金奖、银奖的本科生项目组成员（排名金奖项目团队成员前三、银奖项目团队成员第一），</w:t>
      </w:r>
      <w:r>
        <w:rPr>
          <w:rFonts w:hint="eastAsia" w:eastAsia="仿宋_GB2312"/>
          <w:color w:val="auto"/>
          <w:sz w:val="32"/>
          <w:highlight w:val="none"/>
          <w:u w:val="none"/>
          <w:lang w:eastAsia="zh-CN"/>
        </w:rPr>
        <w:t>可用获奖成绩申请学位论文答辩；获得国赛金奖的硕、博士生项目组成员</w:t>
      </w:r>
      <w:r>
        <w:rPr>
          <w:rFonts w:hint="eastAsia" w:ascii="仿宋_GB2312" w:hAnsi="仿宋_GB2312" w:eastAsia="仿宋_GB2312" w:cs="仿宋_GB2312"/>
          <w:color w:val="auto"/>
          <w:kern w:val="2"/>
          <w:sz w:val="32"/>
          <w:szCs w:val="40"/>
          <w:highlight w:val="none"/>
          <w:u w:val="none"/>
          <w:lang w:eastAsia="zh-CN"/>
        </w:rPr>
        <w:t>（硕士生排名团队成员前二、博士生排名团队成员第一），根据获奖项目相关内容撰写的毕业论文，可不占名额优先推荐申报为省级优秀论文。</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olor w:val="auto"/>
          <w:kern w:val="2"/>
          <w:sz w:val="32"/>
          <w:szCs w:val="40"/>
          <w:highlight w:val="none"/>
          <w:u w:val="none"/>
          <w:lang w:eastAsia="zh-CN"/>
        </w:rPr>
      </w:pPr>
      <w:r>
        <w:rPr>
          <w:rFonts w:hint="eastAsia" w:ascii="仿宋_GB2312" w:hAnsi="仿宋_GB2312" w:eastAsia="仿宋_GB2312" w:cs="仿宋_GB2312"/>
          <w:i w:val="0"/>
          <w:iCs w:val="0"/>
          <w:color w:val="auto"/>
          <w:sz w:val="32"/>
          <w:szCs w:val="40"/>
          <w:highlight w:val="none"/>
          <w:u w:val="none"/>
          <w:lang w:val="en-US" w:eastAsia="zh-CN"/>
        </w:rPr>
        <w:t>（十）</w:t>
      </w:r>
      <w:r>
        <w:rPr>
          <w:rFonts w:hint="eastAsia" w:ascii="仿宋_GB2312" w:hAnsi="仿宋_GB2312" w:eastAsia="仿宋_GB2312" w:cs="仿宋_GB2312"/>
          <w:i w:val="0"/>
          <w:iCs w:val="0"/>
          <w:color w:val="auto"/>
          <w:sz w:val="32"/>
          <w:szCs w:val="40"/>
          <w:highlight w:val="none"/>
          <w:u w:val="none"/>
        </w:rPr>
        <w:t>在高职（专科）学习阶段获得</w:t>
      </w:r>
      <w:r>
        <w:rPr>
          <w:rFonts w:hint="eastAsia" w:ascii="仿宋_GB2312" w:hAnsi="仿宋_GB2312" w:eastAsia="仿宋_GB2312" w:cs="仿宋_GB2312"/>
          <w:i w:val="0"/>
          <w:iCs w:val="0"/>
          <w:color w:val="auto"/>
          <w:sz w:val="32"/>
          <w:szCs w:val="40"/>
          <w:highlight w:val="none"/>
          <w:u w:val="none"/>
          <w:lang w:eastAsia="zh-CN"/>
        </w:rPr>
        <w:t>国赛</w:t>
      </w:r>
      <w:r>
        <w:rPr>
          <w:rFonts w:hint="eastAsia" w:ascii="仿宋_GB2312" w:hAnsi="仿宋_GB2312" w:eastAsia="仿宋_GB2312" w:cs="仿宋_GB2312"/>
          <w:i w:val="0"/>
          <w:iCs w:val="0"/>
          <w:color w:val="auto"/>
          <w:sz w:val="32"/>
          <w:szCs w:val="40"/>
          <w:highlight w:val="none"/>
          <w:u w:val="none"/>
        </w:rPr>
        <w:t>金奖</w:t>
      </w:r>
      <w:r>
        <w:rPr>
          <w:rFonts w:hint="eastAsia" w:ascii="仿宋_GB2312" w:hAnsi="仿宋_GB2312" w:eastAsia="仿宋_GB2312" w:cs="仿宋_GB2312"/>
          <w:i w:val="0"/>
          <w:iCs w:val="0"/>
          <w:color w:val="auto"/>
          <w:sz w:val="32"/>
          <w:szCs w:val="40"/>
          <w:highlight w:val="none"/>
          <w:u w:val="none"/>
          <w:lang w:eastAsia="zh-CN"/>
        </w:rPr>
        <w:t>、银奖、铜奖和省赛金奖</w:t>
      </w:r>
      <w:r>
        <w:rPr>
          <w:rFonts w:hint="eastAsia" w:ascii="仿宋_GB2312" w:hAnsi="仿宋_GB2312" w:eastAsia="仿宋_GB2312" w:cs="仿宋_GB2312"/>
          <w:i w:val="0"/>
          <w:iCs w:val="0"/>
          <w:color w:val="auto"/>
          <w:sz w:val="32"/>
          <w:szCs w:val="40"/>
          <w:highlight w:val="none"/>
          <w:u w:val="none"/>
        </w:rPr>
        <w:t>的高职（专科）层次应届毕业生，在专升本考试</w:t>
      </w:r>
      <w:r>
        <w:rPr>
          <w:rFonts w:hint="eastAsia" w:ascii="仿宋_GB2312" w:hAnsi="仿宋_GB2312" w:eastAsia="仿宋_GB2312" w:cs="仿宋_GB2312"/>
          <w:i w:val="0"/>
          <w:iCs w:val="0"/>
          <w:color w:val="auto"/>
          <w:sz w:val="32"/>
          <w:szCs w:val="40"/>
          <w:highlight w:val="none"/>
          <w:u w:val="none"/>
          <w:lang w:eastAsia="zh-CN"/>
        </w:rPr>
        <w:t>招生</w:t>
      </w:r>
      <w:r>
        <w:rPr>
          <w:rFonts w:hint="eastAsia" w:ascii="仿宋_GB2312" w:hAnsi="仿宋_GB2312" w:eastAsia="仿宋_GB2312" w:cs="仿宋_GB2312"/>
          <w:i w:val="0"/>
          <w:iCs w:val="0"/>
          <w:color w:val="auto"/>
          <w:sz w:val="32"/>
          <w:szCs w:val="40"/>
          <w:highlight w:val="none"/>
          <w:u w:val="none"/>
        </w:rPr>
        <w:t>中，</w:t>
      </w:r>
      <w:r>
        <w:rPr>
          <w:rFonts w:hint="eastAsia" w:ascii="仿宋_GB2312" w:hAnsi="仿宋_GB2312" w:eastAsia="仿宋_GB2312" w:cs="仿宋_GB2312"/>
          <w:i w:val="0"/>
          <w:iCs w:val="0"/>
          <w:color w:val="auto"/>
          <w:sz w:val="32"/>
          <w:szCs w:val="40"/>
          <w:highlight w:val="none"/>
          <w:u w:val="none"/>
          <w:lang w:eastAsia="zh-CN"/>
        </w:rPr>
        <w:t>以</w:t>
      </w:r>
      <w:r>
        <w:rPr>
          <w:rFonts w:hint="eastAsia" w:ascii="仿宋_GB2312" w:hAnsi="仿宋_GB2312" w:eastAsia="仿宋_GB2312" w:cs="仿宋_GB2312"/>
          <w:i w:val="0"/>
          <w:iCs w:val="0"/>
          <w:color w:val="auto"/>
          <w:sz w:val="32"/>
          <w:szCs w:val="40"/>
          <w:highlight w:val="none"/>
          <w:u w:val="none"/>
        </w:rPr>
        <w:t>获奖考生</w:t>
      </w:r>
      <w:r>
        <w:rPr>
          <w:rFonts w:hint="eastAsia" w:ascii="仿宋_GB2312" w:hAnsi="仿宋_GB2312" w:eastAsia="仿宋_GB2312" w:cs="仿宋_GB2312"/>
          <w:i w:val="0"/>
          <w:iCs w:val="0"/>
          <w:color w:val="auto"/>
          <w:sz w:val="32"/>
          <w:szCs w:val="40"/>
          <w:highlight w:val="none"/>
          <w:u w:val="none"/>
          <w:lang w:eastAsia="zh-CN"/>
        </w:rPr>
        <w:t>资格，享受当年录取照顾政策</w:t>
      </w:r>
      <w:r>
        <w:rPr>
          <w:rFonts w:hint="eastAsia" w:ascii="仿宋_GB2312" w:hAnsi="仿宋_GB2312" w:eastAsia="仿宋_GB2312" w:cs="仿宋_GB2312"/>
          <w:i w:val="0"/>
          <w:iCs w:val="0"/>
          <w:color w:val="auto"/>
          <w:sz w:val="32"/>
          <w:szCs w:val="40"/>
          <w:highlight w:val="none"/>
          <w:u w:val="none"/>
        </w:rPr>
        <w:t>。</w:t>
      </w:r>
    </w:p>
    <w:p>
      <w:pPr>
        <w:widowControl/>
        <w:spacing w:line="560" w:lineRule="exact"/>
        <w:ind w:firstLine="640" w:firstLineChars="200"/>
        <w:rPr>
          <w:rFonts w:hint="eastAsia" w:ascii="仿宋_GB2312" w:hAnsi="仿宋_GB2312" w:eastAsia="仿宋_GB2312" w:cs="仿宋_GB2312"/>
          <w:i w:val="0"/>
          <w:iCs w:val="0"/>
          <w:color w:val="auto"/>
          <w:kern w:val="2"/>
          <w:sz w:val="32"/>
          <w:szCs w:val="40"/>
          <w:highlight w:val="none"/>
          <w:u w:val="none"/>
          <w:lang w:eastAsia="zh-CN"/>
        </w:rPr>
      </w:pPr>
      <w:r>
        <w:rPr>
          <w:rFonts w:hint="eastAsia" w:ascii="仿宋_GB2312" w:hAnsi="仿宋_GB2312" w:eastAsia="仿宋_GB2312" w:cs="仿宋_GB2312"/>
          <w:i w:val="0"/>
          <w:iCs w:val="0"/>
          <w:color w:val="auto"/>
          <w:kern w:val="2"/>
          <w:sz w:val="32"/>
          <w:szCs w:val="40"/>
          <w:highlight w:val="none"/>
          <w:u w:val="none"/>
          <w:lang w:val="en-US" w:eastAsia="zh-CN"/>
        </w:rPr>
        <w:t>（十一）</w:t>
      </w:r>
      <w:r>
        <w:rPr>
          <w:rFonts w:hint="eastAsia" w:ascii="仿宋_GB2312" w:hAnsi="仿宋_GB2312" w:eastAsia="仿宋_GB2312" w:cs="仿宋_GB2312"/>
          <w:i w:val="0"/>
          <w:iCs w:val="0"/>
          <w:color w:val="auto"/>
          <w:kern w:val="2"/>
          <w:sz w:val="32"/>
          <w:szCs w:val="40"/>
          <w:highlight w:val="none"/>
          <w:u w:val="none"/>
        </w:rPr>
        <w:t>获得</w:t>
      </w:r>
      <w:r>
        <w:rPr>
          <w:rFonts w:hint="eastAsia" w:ascii="仿宋_GB2312" w:hAnsi="仿宋_GB2312" w:eastAsia="仿宋_GB2312" w:cs="仿宋_GB2312"/>
          <w:i w:val="0"/>
          <w:iCs w:val="0"/>
          <w:color w:val="auto"/>
          <w:kern w:val="2"/>
          <w:sz w:val="32"/>
          <w:szCs w:val="40"/>
          <w:highlight w:val="none"/>
          <w:u w:val="none"/>
          <w:lang w:eastAsia="zh-CN"/>
        </w:rPr>
        <w:t>国赛铜奖及以上（团队成员排位前四）、省赛铜奖及以上（团队成员排位前三）</w:t>
      </w:r>
      <w:r>
        <w:rPr>
          <w:rFonts w:hint="eastAsia" w:ascii="仿宋_GB2312" w:hAnsi="仿宋_GB2312" w:eastAsia="仿宋_GB2312" w:cs="仿宋_GB2312"/>
          <w:i w:val="0"/>
          <w:iCs w:val="0"/>
          <w:color w:val="auto"/>
          <w:kern w:val="2"/>
          <w:sz w:val="32"/>
          <w:szCs w:val="40"/>
          <w:highlight w:val="none"/>
          <w:u w:val="none"/>
        </w:rPr>
        <w:t>的中等职业学校应届毕业班学生，</w:t>
      </w:r>
      <w:r>
        <w:rPr>
          <w:rFonts w:hint="eastAsia" w:ascii="仿宋_GB2312" w:hAnsi="仿宋_GB2312" w:eastAsia="仿宋_GB2312" w:cs="仿宋_GB2312"/>
          <w:i w:val="0"/>
          <w:iCs w:val="0"/>
          <w:color w:val="auto"/>
          <w:kern w:val="2"/>
          <w:sz w:val="32"/>
          <w:szCs w:val="40"/>
          <w:highlight w:val="none"/>
          <w:u w:val="none"/>
          <w:lang w:eastAsia="zh-CN"/>
        </w:rPr>
        <w:t>在高职院校分类考试招生中，</w:t>
      </w:r>
      <w:r>
        <w:rPr>
          <w:rFonts w:hint="eastAsia" w:ascii="仿宋_GB2312" w:hAnsi="仿宋_GB2312" w:eastAsia="仿宋_GB2312" w:cs="仿宋_GB2312"/>
          <w:i w:val="0"/>
          <w:iCs w:val="0"/>
          <w:color w:val="auto"/>
          <w:kern w:val="2"/>
          <w:sz w:val="32"/>
          <w:szCs w:val="40"/>
          <w:highlight w:val="none"/>
          <w:u w:val="none"/>
        </w:rPr>
        <w:t>报考相关对口专科专业的，</w:t>
      </w:r>
      <w:r>
        <w:rPr>
          <w:rFonts w:hint="eastAsia" w:ascii="仿宋_GB2312" w:hAnsi="仿宋_GB2312" w:eastAsia="仿宋_GB2312" w:cs="仿宋_GB2312"/>
          <w:i w:val="0"/>
          <w:iCs w:val="0"/>
          <w:color w:val="auto"/>
          <w:kern w:val="2"/>
          <w:sz w:val="32"/>
          <w:szCs w:val="40"/>
          <w:highlight w:val="none"/>
          <w:u w:val="none"/>
          <w:lang w:eastAsia="zh-CN"/>
        </w:rPr>
        <w:t>可享受当年高职院校分类考试招生录取照顾政策。</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olor w:val="auto"/>
          <w:sz w:val="32"/>
          <w:szCs w:val="40"/>
          <w:highlight w:val="none"/>
          <w:u w:val="none"/>
          <w:lang w:eastAsia="zh-CN"/>
        </w:rPr>
      </w:pPr>
      <w:r>
        <w:rPr>
          <w:rFonts w:hint="eastAsia" w:ascii="仿宋_GB2312" w:hAnsi="仿宋_GB2312" w:eastAsia="仿宋_GB2312" w:cs="仿宋_GB2312"/>
          <w:color w:val="auto"/>
          <w:sz w:val="32"/>
          <w:szCs w:val="40"/>
          <w:highlight w:val="none"/>
          <w:u w:val="none"/>
          <w:lang w:val="en-US" w:eastAsia="zh-CN"/>
        </w:rPr>
        <w:t>（十二）</w:t>
      </w:r>
      <w:r>
        <w:rPr>
          <w:rFonts w:hint="eastAsia" w:ascii="仿宋_GB2312" w:hAnsi="仿宋_GB2312" w:eastAsia="仿宋_GB2312" w:cs="仿宋_GB2312"/>
          <w:i w:val="0"/>
          <w:iCs w:val="0"/>
          <w:color w:val="auto"/>
          <w:sz w:val="32"/>
          <w:szCs w:val="40"/>
          <w:highlight w:val="none"/>
          <w:u w:val="none"/>
        </w:rPr>
        <w:t>普通高中学生获得萌芽赛道省级及以上奖项者，优先推荐参加青少年科技创新大赛、明天小小科学家等评选活动。</w:t>
      </w:r>
    </w:p>
    <w:p>
      <w:pPr>
        <w:pStyle w:val="4"/>
        <w:widowControl/>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sectPr>
          <w:headerReference r:id="rId4" w:type="first"/>
          <w:footerReference r:id="rId7" w:type="first"/>
          <w:footerReference r:id="rId5" w:type="default"/>
          <w:headerReference r:id="rId3" w:type="even"/>
          <w:footerReference r:id="rId6" w:type="even"/>
          <w:pgSz w:w="11850" w:h="16784"/>
          <w:pgMar w:top="1984" w:right="1531" w:bottom="1984" w:left="1531" w:header="851" w:footer="992" w:gutter="0"/>
          <w:pgNumType w:fmt="numberInDash"/>
          <w:cols w:space="720" w:num="1"/>
          <w:docGrid w:type="lines" w:linePitch="43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jc w:val="right"/>
      <w:rPr>
        <w:rFonts w:ascii="Calibri" w:hAnsi="Calibri" w:eastAsia="仿宋_GB2312" w:cs="Times New Roman"/>
        <w:kern w:val="2"/>
        <w:sz w:val="28"/>
        <w:szCs w:val="28"/>
        <w:lang w:val="en-US" w:eastAsia="zh-CN" w:bidi="ar-SA"/>
      </w:rPr>
    </w:pPr>
    <w:r>
      <w:rPr>
        <w:rFonts w:ascii="Calibri" w:hAnsi="Calibri"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spacing w:line="240" w:lineRule="atLeast"/>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 MERGEFORMAT</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2</w:t>
                          </w:r>
                          <w:r>
                            <w:rPr>
                              <w:rFonts w:hint="eastAsia" w:ascii="宋体" w:hAnsi="宋体" w:eastAsia="宋体" w:cs="宋体"/>
                              <w:kern w:val="2"/>
                              <w:sz w:val="28"/>
                              <w:szCs w:val="28"/>
                              <w:lang w:val="en-US" w:eastAsia="zh-CN" w:bidi="ar-SA"/>
                            </w:rPr>
                            <w:fldChar w:fldCharType="end"/>
                          </w:r>
                        </w:p>
                        <w:p>
                          <w:pPr>
                            <w:pStyle w:val="2"/>
                            <w:spacing w:line="560" w:lineRule="exac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widowControl w:val="0"/>
                      <w:snapToGrid w:val="0"/>
                      <w:spacing w:line="240" w:lineRule="atLeast"/>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 MERGEFORMAT</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2</w:t>
                    </w:r>
                    <w:r>
                      <w:rPr>
                        <w:rFonts w:hint="eastAsia" w:ascii="宋体" w:hAnsi="宋体" w:eastAsia="宋体" w:cs="宋体"/>
                        <w:kern w:val="2"/>
                        <w:sz w:val="28"/>
                        <w:szCs w:val="28"/>
                        <w:lang w:val="en-US" w:eastAsia="zh-CN" w:bidi="ar-SA"/>
                      </w:rPr>
                      <w:fldChar w:fldCharType="end"/>
                    </w:r>
                  </w:p>
                  <w:p>
                    <w:pPr>
                      <w:pStyle w:val="2"/>
                      <w:spacing w:line="560" w:lineRule="exact"/>
                    </w:pPr>
                  </w:p>
                </w:txbxContent>
              </v:textbox>
            </v:shape>
          </w:pict>
        </mc:Fallback>
      </mc:AlternateContent>
    </w:r>
  </w:p>
  <w:p>
    <w:pPr>
      <w:widowControl w:val="0"/>
      <w:snapToGrid w:val="0"/>
      <w:spacing w:line="240" w:lineRule="atLeast"/>
      <w:jc w:val="left"/>
      <w:rPr>
        <w:rFonts w:ascii="Calibri"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jc w:val="left"/>
      <w:rPr>
        <w:rFonts w:ascii="Calibri" w:hAnsi="Calibri" w:eastAsia="仿宋_GB2312"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jc w:val="left"/>
      <w:rPr>
        <w:rFonts w:ascii="Calibri" w:hAnsi="Calibri" w:eastAsia="仿宋_GB2312"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spacing w:line="240" w:lineRule="atLeast"/>
      <w:jc w:val="center"/>
      <w:rPr>
        <w:rFonts w:ascii="Calibri" w:hAnsi="Calibri"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spacing w:line="240" w:lineRule="atLeast"/>
      <w:jc w:val="center"/>
      <w:rPr>
        <w:rFonts w:ascii="Calibri" w:hAnsi="Calibri" w:eastAsia="仿宋_GB2312"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C1686"/>
    <w:rsid w:val="79BC1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Calibri" w:hAnsi="Calibri" w:eastAsia="宋体" w:cs="Times New Roman"/>
      <w:sz w:val="20"/>
      <w:szCs w:val="20"/>
      <w:lang w:val="en-US" w:bidi="ar-SA"/>
    </w:rPr>
  </w:style>
  <w:style w:type="paragraph" w:styleId="3">
    <w:name w:val="Body Text"/>
    <w:basedOn w:val="1"/>
    <w:qFormat/>
    <w:uiPriority w:val="1"/>
    <w:pPr>
      <w:ind w:left="471"/>
    </w:pPr>
    <w:rPr>
      <w:rFonts w:ascii="仿宋" w:hAnsi="仿宋" w:eastAsia="仿宋" w:cs="仿宋"/>
      <w:sz w:val="32"/>
      <w:szCs w:val="32"/>
      <w:lang w:val="zh-CN" w:eastAsia="zh-CN" w:bidi="zh-CN"/>
    </w:rPr>
  </w:style>
  <w:style w:type="paragraph" w:styleId="4">
    <w:name w:val="Normal (Web)"/>
    <w:basedOn w:val="1"/>
    <w:qFormat/>
    <w:uiPriority w:val="0"/>
    <w:pPr>
      <w:spacing w:before="100" w:beforeAutospacing="1" w:after="100" w:afterAutospacing="1"/>
      <w:jc w:val="left"/>
    </w:pPr>
    <w:rPr>
      <w:rFonts w:ascii="Calibri" w:hAnsi="Calibri" w:eastAsia="宋体" w:cs="Times New Roman"/>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2022-03-02T03:32:00Z</dcterms:created>
  <dc:creator>灰灰</dc:creator>
  <cp:lastModifiedBy>灰灰</cp:lastModifiedBy>
  <dcterms:modified xsi:type="dcterms:W3CDTF">2022-03-02T03:33:59Z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10034311AD864158B8EFE98D38B26591</vt:lpwstr>
  </property>
</Properties>
</file>