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center"/>
        <w:textAlignment w:val="auto"/>
        <w:rPr>
          <w:rStyle w:val="7"/>
          <w:rFonts w:hint="eastAsia" w:ascii="宋体" w:hAnsi="宋体" w:eastAsia="宋体" w:cs="宋体"/>
          <w:b/>
          <w:bCs w:val="0"/>
          <w:sz w:val="32"/>
          <w:szCs w:val="32"/>
        </w:rPr>
      </w:pPr>
      <w:r>
        <w:rPr>
          <w:rStyle w:val="7"/>
          <w:rFonts w:hint="eastAsia" w:ascii="宋体" w:hAnsi="宋体" w:eastAsia="宋体" w:cs="宋体"/>
          <w:b/>
          <w:bCs w:val="0"/>
          <w:sz w:val="32"/>
          <w:szCs w:val="32"/>
          <w:u w:val="none"/>
          <w:lang w:val="en-US" w:eastAsia="zh-CN"/>
        </w:rPr>
        <w:t>泉州师范学院</w:t>
      </w:r>
      <w:r>
        <w:rPr>
          <w:rStyle w:val="7"/>
          <w:rFonts w:hint="eastAsia" w:ascii="宋体" w:hAnsi="宋体" w:eastAsia="宋体" w:cs="宋体"/>
          <w:b/>
          <w:bCs w:val="0"/>
          <w:sz w:val="32"/>
          <w:szCs w:val="32"/>
          <w:u w:val="single"/>
          <w:lang w:val="en-US" w:eastAsia="zh-CN"/>
        </w:rPr>
        <w:t xml:space="preserve"> 单位名称 </w:t>
      </w:r>
      <w:r>
        <w:rPr>
          <w:rStyle w:val="7"/>
          <w:rFonts w:hint="eastAsia" w:ascii="宋体" w:hAnsi="宋体" w:eastAsia="宋体" w:cs="宋体"/>
          <w:b/>
          <w:bCs w:val="0"/>
          <w:sz w:val="32"/>
          <w:szCs w:val="32"/>
          <w:u w:val="none"/>
          <w:lang w:val="en-US" w:eastAsia="zh-CN"/>
        </w:rPr>
        <w:t xml:space="preserve"> </w:t>
      </w:r>
      <w:r>
        <w:rPr>
          <w:rStyle w:val="7"/>
          <w:rFonts w:hint="eastAsia" w:ascii="宋体" w:hAnsi="宋体" w:eastAsia="宋体" w:cs="宋体"/>
          <w:b/>
          <w:bCs w:val="0"/>
          <w:sz w:val="32"/>
          <w:szCs w:val="32"/>
          <w:u w:val="single"/>
          <w:lang w:val="en-US" w:eastAsia="zh-CN"/>
        </w:rPr>
        <w:t xml:space="preserve"> 项目名称 </w:t>
      </w:r>
      <w:r>
        <w:rPr>
          <w:rStyle w:val="7"/>
          <w:rFonts w:hint="eastAsia" w:ascii="宋体" w:hAnsi="宋体" w:eastAsia="宋体" w:cs="宋体"/>
          <w:b/>
          <w:bCs w:val="0"/>
          <w:sz w:val="32"/>
          <w:szCs w:val="32"/>
        </w:rPr>
        <w:t>采购合同</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宋体" w:hAnsi="宋体" w:eastAsia="宋体" w:cs="宋体"/>
          <w:b/>
          <w:bCs/>
          <w:sz w:val="24"/>
          <w:szCs w:val="24"/>
          <w:lang w:eastAsia="zh-CN"/>
        </w:rPr>
      </w:pPr>
      <w:r>
        <w:rPr>
          <w:rFonts w:hint="eastAsia" w:ascii="宋体" w:hAnsi="宋体" w:eastAsia="宋体" w:cs="宋体"/>
          <w:b/>
          <w:bCs/>
          <w:spacing w:val="0"/>
          <w:sz w:val="24"/>
          <w:szCs w:val="24"/>
        </w:rPr>
        <w:t>甲方：</w:t>
      </w:r>
      <w:r>
        <w:rPr>
          <w:rFonts w:hint="eastAsia" w:ascii="宋体" w:hAnsi="宋体" w:eastAsia="宋体" w:cs="宋体"/>
          <w:b/>
          <w:bCs/>
          <w:spacing w:val="0"/>
          <w:sz w:val="24"/>
          <w:szCs w:val="24"/>
          <w:u w:val="single"/>
        </w:rPr>
        <w:t xml:space="preserve"> 单位名称</w:t>
      </w:r>
      <w:r>
        <w:rPr>
          <w:rFonts w:hint="eastAsia" w:ascii="宋体" w:hAnsi="宋体" w:eastAsia="宋体" w:cs="宋体"/>
          <w:b/>
          <w:bCs/>
          <w:spacing w:val="0"/>
          <w:sz w:val="24"/>
          <w:szCs w:val="24"/>
          <w:u w:val="single"/>
          <w:lang w:val="en-US" w:eastAsia="zh-CN"/>
        </w:rPr>
        <w:t xml:space="preserve"> </w:t>
      </w:r>
      <w:r>
        <w:rPr>
          <w:rFonts w:hint="eastAsia" w:ascii="宋体" w:hAnsi="宋体" w:eastAsia="宋体" w:cs="宋体"/>
          <w:b/>
          <w:bCs/>
          <w:spacing w:val="0"/>
          <w:sz w:val="24"/>
          <w:szCs w:val="24"/>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宋体" w:hAnsi="宋体" w:eastAsia="宋体" w:cs="宋体"/>
          <w:b/>
          <w:bCs/>
          <w:sz w:val="24"/>
          <w:szCs w:val="24"/>
          <w:lang w:eastAsia="zh-CN"/>
        </w:rPr>
      </w:pPr>
      <w:r>
        <w:rPr>
          <w:rFonts w:hint="eastAsia" w:ascii="宋体" w:hAnsi="宋体" w:eastAsia="宋体" w:cs="宋体"/>
          <w:b/>
          <w:bCs/>
          <w:spacing w:val="0"/>
          <w:sz w:val="24"/>
          <w:szCs w:val="24"/>
        </w:rPr>
        <w:t>乙方：</w:t>
      </w:r>
      <w:r>
        <w:rPr>
          <w:rFonts w:hint="eastAsia" w:ascii="宋体" w:hAnsi="宋体" w:eastAsia="宋体" w:cs="宋体"/>
          <w:b/>
          <w:bCs/>
          <w:spacing w:val="0"/>
          <w:sz w:val="24"/>
          <w:szCs w:val="24"/>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根据</w:t>
      </w:r>
      <w:r>
        <w:rPr>
          <w:rFonts w:hint="eastAsia" w:ascii="宋体" w:hAnsi="宋体" w:eastAsia="宋体" w:cs="宋体"/>
          <w:spacing w:val="0"/>
          <w:sz w:val="24"/>
          <w:szCs w:val="24"/>
          <w:u w:val="single"/>
        </w:rPr>
        <w:t xml:space="preserve">    年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 xml:space="preserve">月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日</w:t>
      </w:r>
      <w:r>
        <w:rPr>
          <w:rFonts w:hint="eastAsia" w:ascii="宋体" w:hAnsi="宋体" w:eastAsia="宋体" w:cs="宋体"/>
          <w:spacing w:val="0"/>
          <w:sz w:val="24"/>
          <w:szCs w:val="24"/>
        </w:rPr>
        <w:t>自行组织的</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项目（以下简称：“本项目”）采购结果，乙方为成交供应商。现经甲乙双方友好协商，就以下事项达成一致并签订本合同：</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1、下列合同文件是构成本合同不可分割的部分：</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1.1合同条款；</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pacing w:val="0"/>
          <w:sz w:val="24"/>
          <w:szCs w:val="24"/>
        </w:rPr>
        <w:t>1.2</w:t>
      </w:r>
      <w:r>
        <w:rPr>
          <w:rFonts w:hint="eastAsia" w:ascii="宋体" w:hAnsi="宋体" w:eastAsia="宋体" w:cs="宋体"/>
          <w:spacing w:val="0"/>
          <w:sz w:val="24"/>
          <w:szCs w:val="24"/>
          <w:lang w:eastAsia="zh-CN"/>
        </w:rPr>
        <w:t>采购文件</w:t>
      </w:r>
      <w:r>
        <w:rPr>
          <w:rFonts w:hint="eastAsia" w:ascii="宋体" w:hAnsi="宋体" w:eastAsia="宋体" w:cs="宋体"/>
          <w:spacing w:val="0"/>
          <w:sz w:val="24"/>
          <w:szCs w:val="24"/>
        </w:rPr>
        <w:t>、乙方的响应文件</w:t>
      </w:r>
      <w:r>
        <w:rPr>
          <w:rFonts w:hint="eastAsia" w:ascii="宋体" w:hAnsi="宋体" w:eastAsia="宋体" w:cs="宋体"/>
          <w:spacing w:val="0"/>
          <w:sz w:val="24"/>
          <w:szCs w:val="24"/>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2、合同标的</w:t>
      </w:r>
    </w:p>
    <w:tbl>
      <w:tblPr>
        <w:tblStyle w:val="4"/>
        <w:tblpPr w:leftFromText="180" w:rightFromText="180" w:vertAnchor="text" w:horzAnchor="margin" w:tblpX="108" w:tblpY="4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1984"/>
        <w:gridCol w:w="851"/>
        <w:gridCol w:w="708"/>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809" w:type="dxa"/>
            <w:vAlign w:val="center"/>
          </w:tcPr>
          <w:p>
            <w:pPr>
              <w:spacing w:line="460" w:lineRule="exact"/>
              <w:jc w:val="center"/>
              <w:rPr>
                <w:sz w:val="24"/>
                <w:szCs w:val="24"/>
              </w:rPr>
            </w:pPr>
            <w:r>
              <w:rPr>
                <w:rFonts w:hint="eastAsia"/>
                <w:sz w:val="24"/>
                <w:szCs w:val="24"/>
              </w:rPr>
              <w:t>标的名称</w:t>
            </w:r>
          </w:p>
        </w:tc>
        <w:tc>
          <w:tcPr>
            <w:tcW w:w="993" w:type="dxa"/>
            <w:vAlign w:val="center"/>
          </w:tcPr>
          <w:p>
            <w:pPr>
              <w:spacing w:line="460" w:lineRule="exact"/>
              <w:jc w:val="center"/>
              <w:rPr>
                <w:sz w:val="24"/>
                <w:szCs w:val="24"/>
              </w:rPr>
            </w:pPr>
            <w:r>
              <w:rPr>
                <w:rFonts w:hint="eastAsia"/>
                <w:sz w:val="24"/>
                <w:szCs w:val="24"/>
              </w:rPr>
              <w:t>品牌</w:t>
            </w:r>
          </w:p>
        </w:tc>
        <w:tc>
          <w:tcPr>
            <w:tcW w:w="1984" w:type="dxa"/>
            <w:vAlign w:val="center"/>
          </w:tcPr>
          <w:p>
            <w:pPr>
              <w:spacing w:line="460" w:lineRule="exact"/>
              <w:jc w:val="center"/>
              <w:rPr>
                <w:sz w:val="24"/>
                <w:szCs w:val="24"/>
              </w:rPr>
            </w:pPr>
            <w:r>
              <w:rPr>
                <w:rFonts w:hint="eastAsia"/>
                <w:sz w:val="24"/>
                <w:szCs w:val="24"/>
              </w:rPr>
              <w:t>型号、配置</w:t>
            </w:r>
          </w:p>
        </w:tc>
        <w:tc>
          <w:tcPr>
            <w:tcW w:w="851" w:type="dxa"/>
            <w:vAlign w:val="center"/>
          </w:tcPr>
          <w:p>
            <w:pPr>
              <w:spacing w:line="460" w:lineRule="exact"/>
              <w:jc w:val="center"/>
              <w:rPr>
                <w:sz w:val="24"/>
                <w:szCs w:val="24"/>
              </w:rPr>
            </w:pPr>
            <w:r>
              <w:rPr>
                <w:rFonts w:hint="eastAsia"/>
                <w:sz w:val="24"/>
                <w:szCs w:val="24"/>
              </w:rPr>
              <w:t>产地</w:t>
            </w:r>
          </w:p>
        </w:tc>
        <w:tc>
          <w:tcPr>
            <w:tcW w:w="708" w:type="dxa"/>
            <w:vAlign w:val="center"/>
          </w:tcPr>
          <w:p>
            <w:pPr>
              <w:spacing w:line="460" w:lineRule="exact"/>
              <w:jc w:val="center"/>
              <w:rPr>
                <w:sz w:val="24"/>
                <w:szCs w:val="24"/>
              </w:rPr>
            </w:pPr>
            <w:r>
              <w:rPr>
                <w:rFonts w:hint="eastAsia"/>
                <w:sz w:val="24"/>
                <w:szCs w:val="24"/>
              </w:rPr>
              <w:t>数量</w:t>
            </w:r>
          </w:p>
        </w:tc>
        <w:tc>
          <w:tcPr>
            <w:tcW w:w="1134" w:type="dxa"/>
            <w:vAlign w:val="center"/>
          </w:tcPr>
          <w:p>
            <w:pPr>
              <w:spacing w:line="460" w:lineRule="exact"/>
              <w:jc w:val="center"/>
              <w:rPr>
                <w:sz w:val="24"/>
                <w:szCs w:val="24"/>
              </w:rPr>
            </w:pPr>
            <w:r>
              <w:rPr>
                <w:rFonts w:hint="eastAsia"/>
                <w:sz w:val="24"/>
                <w:szCs w:val="24"/>
              </w:rPr>
              <w:t>单价</w:t>
            </w:r>
          </w:p>
        </w:tc>
        <w:tc>
          <w:tcPr>
            <w:tcW w:w="1134" w:type="dxa"/>
            <w:vAlign w:val="center"/>
          </w:tcPr>
          <w:p>
            <w:pPr>
              <w:spacing w:line="460" w:lineRule="exact"/>
              <w:jc w:val="center"/>
              <w:rPr>
                <w:sz w:val="24"/>
                <w:szCs w:val="24"/>
              </w:rPr>
            </w:pPr>
            <w:r>
              <w:rPr>
                <w:rFonts w:hint="eastAsia"/>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vAlign w:val="center"/>
          </w:tcPr>
          <w:p>
            <w:pPr>
              <w:spacing w:line="460" w:lineRule="exact"/>
              <w:jc w:val="center"/>
            </w:pPr>
          </w:p>
        </w:tc>
        <w:tc>
          <w:tcPr>
            <w:tcW w:w="993" w:type="dxa"/>
            <w:vAlign w:val="center"/>
          </w:tcPr>
          <w:p>
            <w:pPr>
              <w:spacing w:line="460" w:lineRule="exact"/>
              <w:jc w:val="center"/>
            </w:pPr>
          </w:p>
        </w:tc>
        <w:tc>
          <w:tcPr>
            <w:tcW w:w="1984" w:type="dxa"/>
            <w:vAlign w:val="center"/>
          </w:tcPr>
          <w:p>
            <w:pPr>
              <w:spacing w:line="460" w:lineRule="exact"/>
              <w:jc w:val="center"/>
              <w:rPr>
                <w:b/>
              </w:rPr>
            </w:pPr>
          </w:p>
        </w:tc>
        <w:tc>
          <w:tcPr>
            <w:tcW w:w="851" w:type="dxa"/>
            <w:vAlign w:val="center"/>
          </w:tcPr>
          <w:p>
            <w:pPr>
              <w:spacing w:line="460" w:lineRule="exact"/>
              <w:jc w:val="center"/>
            </w:pPr>
          </w:p>
        </w:tc>
        <w:tc>
          <w:tcPr>
            <w:tcW w:w="708" w:type="dxa"/>
            <w:vAlign w:val="center"/>
          </w:tcPr>
          <w:p>
            <w:pPr>
              <w:spacing w:line="460" w:lineRule="exact"/>
              <w:jc w:val="center"/>
            </w:pPr>
          </w:p>
        </w:tc>
        <w:tc>
          <w:tcPr>
            <w:tcW w:w="1134" w:type="dxa"/>
            <w:vAlign w:val="center"/>
          </w:tcPr>
          <w:p>
            <w:pPr>
              <w:spacing w:line="460" w:lineRule="exact"/>
              <w:jc w:val="center"/>
            </w:pPr>
          </w:p>
        </w:tc>
        <w:tc>
          <w:tcPr>
            <w:tcW w:w="1134" w:type="dxa"/>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809" w:type="dxa"/>
            <w:vAlign w:val="center"/>
          </w:tcPr>
          <w:p>
            <w:pPr>
              <w:spacing w:line="46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合计</w:t>
            </w:r>
          </w:p>
        </w:tc>
        <w:tc>
          <w:tcPr>
            <w:tcW w:w="6804" w:type="dxa"/>
            <w:gridSpan w:val="6"/>
            <w:vAlign w:val="center"/>
          </w:tcPr>
          <w:p>
            <w:pPr>
              <w:spacing w:line="460" w:lineRule="exac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人民币（大写）：         元整 （¥：</w:t>
            </w:r>
            <w:r>
              <w:rPr>
                <w:rFonts w:hint="eastAsia" w:ascii="宋体" w:hAnsi="宋体"/>
                <w:color w:val="000000" w:themeColor="text1"/>
                <w:kern w:val="0"/>
                <w:sz w:val="24"/>
                <w:szCs w:val="24"/>
                <w:u w:val="none"/>
                <w14:textFill>
                  <w14:solidFill>
                    <w14:schemeClr w14:val="tx1"/>
                  </w14:solidFill>
                </w14:textFill>
              </w:rPr>
              <w:t xml:space="preserve">    .00 </w:t>
            </w:r>
            <w:r>
              <w:rPr>
                <w:rFonts w:hint="eastAsia" w:ascii="宋体" w:hAnsi="宋体"/>
                <w:color w:val="000000" w:themeColor="text1"/>
                <w:kern w:val="0"/>
                <w:sz w:val="24"/>
                <w:szCs w:val="24"/>
                <w14:textFill>
                  <w14:solidFill>
                    <w14:schemeClr w14:val="tx1"/>
                  </w14:solidFill>
                </w14:textFill>
              </w:rPr>
              <w:t>）</w:t>
            </w:r>
          </w:p>
        </w:tc>
      </w:tr>
    </w:tbl>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3、合同总金额</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3.1合同总金额为人民币大写：</w:t>
      </w:r>
      <w:r>
        <w:rPr>
          <w:rFonts w:hint="eastAsia" w:ascii="宋体" w:hAnsi="宋体"/>
          <w:color w:val="000000" w:themeColor="text1"/>
          <w:kern w:val="0"/>
          <w:sz w:val="24"/>
          <w:szCs w:val="24"/>
          <w:u w:val="single"/>
          <w14:textFill>
            <w14:solidFill>
              <w14:schemeClr w14:val="tx1"/>
            </w14:solidFill>
          </w14:textFill>
        </w:rPr>
        <w:t xml:space="preserve">        </w:t>
      </w:r>
      <w:r>
        <w:rPr>
          <w:rFonts w:ascii="宋体" w:hAnsi="宋体"/>
          <w:color w:val="000000" w:themeColor="text1"/>
          <w:kern w:val="0"/>
          <w:sz w:val="24"/>
          <w:szCs w:val="24"/>
          <w14:textFill>
            <w14:solidFill>
              <w14:schemeClr w14:val="tx1"/>
            </w14:solidFill>
          </w14:textFill>
        </w:rPr>
        <w:t>元（</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u w:val="single"/>
          <w14:textFill>
            <w14:solidFill>
              <w14:schemeClr w14:val="tx1"/>
            </w14:solidFill>
          </w14:textFill>
        </w:rPr>
        <w:t xml:space="preserve">     .00</w:t>
      </w:r>
      <w:r>
        <w:rPr>
          <w:rFonts w:ascii="宋体" w:hAnsi="宋体"/>
          <w:color w:val="000000" w:themeColor="text1"/>
          <w:kern w:val="0"/>
          <w:sz w:val="24"/>
          <w:szCs w:val="24"/>
          <w14:textFill>
            <w14:solidFill>
              <w14:schemeClr w14:val="tx1"/>
            </w14:solidFill>
          </w14:textFill>
        </w:rPr>
        <w:t>）</w:t>
      </w:r>
      <w:r>
        <w:rPr>
          <w:rFonts w:hint="eastAsia" w:ascii="宋体" w:hAnsi="宋体" w:eastAsia="宋体" w:cs="宋体"/>
          <w:spacing w:val="0"/>
          <w:sz w:val="24"/>
          <w:szCs w:val="24"/>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4、合同标的交付时间、地点和条件</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4.1交付时间：合同签订之日起</w:t>
      </w:r>
      <w:r>
        <w:rPr>
          <w:rFonts w:hint="eastAsia" w:ascii="宋体" w:hAnsi="宋体" w:eastAsia="宋体" w:cs="宋体"/>
          <w:spacing w:val="0"/>
          <w:kern w:val="0"/>
          <w:sz w:val="24"/>
          <w:szCs w:val="24"/>
          <w:u w:val="single"/>
          <w:lang w:val="en-US" w:eastAsia="zh-CN" w:bidi="ar"/>
        </w:rPr>
        <w:t xml:space="preserve">    </w:t>
      </w:r>
      <w:r>
        <w:rPr>
          <w:rFonts w:hint="eastAsia" w:ascii="宋体" w:hAnsi="宋体" w:eastAsia="宋体" w:cs="宋体"/>
          <w:spacing w:val="0"/>
          <w:kern w:val="0"/>
          <w:sz w:val="24"/>
          <w:szCs w:val="24"/>
          <w:u w:val="none"/>
          <w:lang w:val="en-US" w:eastAsia="zh-CN" w:bidi="ar"/>
        </w:rPr>
        <w:t>日</w:t>
      </w:r>
      <w:r>
        <w:rPr>
          <w:rFonts w:hint="eastAsia" w:ascii="宋体" w:hAnsi="宋体" w:eastAsia="宋体" w:cs="宋体"/>
          <w:spacing w:val="0"/>
          <w:kern w:val="0"/>
          <w:sz w:val="24"/>
          <w:szCs w:val="24"/>
          <w:lang w:val="en-US" w:eastAsia="zh-CN" w:bidi="ar"/>
        </w:rPr>
        <w:t>内供货并安装调试完毕，甲方在规定期限内组织验收。若因甲方原因或不可抗力等因素导致的延迟交付，交付期可顺延。                   </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4.2交付地点：甲方指定地点。</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4.3交付条件：验收合格。</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5、合同标的应符合</w:t>
      </w:r>
      <w:r>
        <w:rPr>
          <w:rFonts w:hint="eastAsia" w:ascii="宋体" w:hAnsi="宋体" w:eastAsia="宋体" w:cs="宋体"/>
          <w:b/>
          <w:bCs/>
          <w:spacing w:val="0"/>
          <w:sz w:val="24"/>
          <w:szCs w:val="24"/>
          <w:lang w:eastAsia="zh-CN"/>
        </w:rPr>
        <w:t>采购文件</w:t>
      </w:r>
      <w:r>
        <w:rPr>
          <w:rFonts w:hint="eastAsia" w:ascii="宋体" w:hAnsi="宋体" w:eastAsia="宋体" w:cs="宋体"/>
          <w:b/>
          <w:bCs/>
          <w:spacing w:val="0"/>
          <w:sz w:val="24"/>
          <w:szCs w:val="24"/>
        </w:rPr>
        <w:t>、乙方响应文件的规定或约定，具体如下：</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6、验收</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6.1验收标准</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按厂家设备验收标准(符合国家或行业或地方标准)、招标文件、投标文件、合同等相关文件执行。验收结果应符合甲方使用要求。</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6.2验收程序</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6.2.1出厂检验：乙方需提供货物、安装材料、工具和文件的发货清单和计划，发货计划应经甲方认可后实施。乙方在设备出厂前，应按设备技术标准规定的检验项目和检验方法进行全面检验，结果必须符合验收标准的要求。乙方应随同货物出具供货证明、产地证书、出厂检验报告和设备质量合格证等，并负责将产品送达甲方指定交货地点。</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6.2.2初步验收：货物到达交货地点后30天内完成。甲方在设备（含软件）到货后，将按合同规定对所交货物进行清点、核对和商检，对货物基本数量与质量进行初步验收（但不作为最终合格的保证），该验收应达到合同规定的要求。初步验收不合格的，甲方有权选择退货或换货处理：选择换货处理的，乙方需在收到换货通知之日起30天内交付合格的新品，逾期未处理的，将予以退货，由此产生的费用和甲方的损失，由乙方承担；选择退货处理的，乙方需在收到退货通知之日起10天内将货物自行运回，如逾期乙方未退回货物，甲方有权将货物退回乙方法定地址，由此产生的一切费用由乙方承担。</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6.2.3最终验收：设备在安装地安装、调试与试运行无问题之后30天内完成最终验收（因乙方原因导致无法验收的情况除外）。项目具备验收条件后，乙方应向甲方提出验收请求并提供完整的项目交接资料及交接报告。甲方收到验收请求后组织验收，验收合格后，签发验收单；验收不合格，甲方有权选择通知整改或退换货处理：①选择通知整改处理的，乙方需在收到整改通知之日起30天内完成整改，逾期未处理，将按退货处理，由此产生的费用和甲方的损失，由乙方承担；②选择换货处理的，乙方需在收到换货通知之日起30天内交付合格的新品，逾期未处理，将按退货处理，由此产生的费用和甲方的损失，由乙方承担；③选择退货处理的，乙方需在收到退货通知之日起10天内将货物自行运回，如逾期乙方未退回货物，甲方有权将货物退回乙方法定地址，由此产生的一切费用由乙方承担。</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6.4本项目不邀请其他乙方参与验收。</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7、合同款项的支付应按照</w:t>
      </w:r>
      <w:r>
        <w:rPr>
          <w:rFonts w:hint="eastAsia" w:ascii="宋体" w:hAnsi="宋体" w:eastAsia="宋体" w:cs="宋体"/>
          <w:b/>
          <w:bCs/>
          <w:spacing w:val="0"/>
          <w:sz w:val="24"/>
          <w:szCs w:val="24"/>
          <w:lang w:eastAsia="zh-CN"/>
        </w:rPr>
        <w:t>采购文件</w:t>
      </w:r>
      <w:r>
        <w:rPr>
          <w:rFonts w:hint="eastAsia" w:ascii="宋体" w:hAnsi="宋体" w:eastAsia="宋体" w:cs="宋体"/>
          <w:b/>
          <w:bCs/>
          <w:spacing w:val="0"/>
          <w:sz w:val="24"/>
          <w:szCs w:val="24"/>
        </w:rPr>
        <w:t>的规定进行，具体如下：</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验收合格并收到乙方发票后付清合同全款。乙方向甲方出具的税务发票（100%全额发票）必须是正式合法且甲方当地税务部门能认可，乙方应保证甲方在使用时不受第三方的指控。</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8、履约保证金</w:t>
      </w:r>
    </w:p>
    <w:p>
      <w:pPr>
        <w:widowControl w:val="0"/>
        <w:shd w:val="clear" w:color="auto" w:fill="FFFFFF"/>
        <w:spacing w:after="0" w:line="360" w:lineRule="auto"/>
        <w:ind w:firstLine="480" w:firstLineChars="200"/>
        <w:jc w:val="both"/>
        <w:outlineLvl w:val="0"/>
        <w:rPr>
          <w:rFonts w:hint="eastAsia" w:ascii="宋体" w:hAnsi="宋体" w:eastAsia="宋体" w:cs="宋体"/>
          <w:color w:val="0000FF"/>
          <w:spacing w:val="0"/>
          <w:kern w:val="0"/>
          <w:sz w:val="24"/>
          <w:szCs w:val="24"/>
          <w:lang w:val="en-US" w:eastAsia="zh-CN" w:bidi="ar"/>
        </w:rPr>
      </w:pPr>
      <w:r>
        <w:rPr>
          <w:rFonts w:hint="eastAsia" w:ascii="宋体" w:hAnsi="宋体" w:eastAsia="宋体" w:cs="宋体"/>
          <w:color w:val="0000FF"/>
          <w:spacing w:val="0"/>
          <w:kern w:val="0"/>
          <w:sz w:val="24"/>
          <w:szCs w:val="24"/>
          <w:lang w:val="en-US" w:eastAsia="zh-CN" w:bidi="ar"/>
        </w:rPr>
        <w:t>（根据项目实际选择是否提交履约保证金，如选是参照以下要求）。</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乙方在签订合同前向甲方缴纳合同金额约2%的履约保证金即人民币大写</w:t>
      </w:r>
      <w:r>
        <w:rPr>
          <w:rFonts w:hint="eastAsia" w:ascii="宋体" w:hAnsi="宋体" w:eastAsia="宋体" w:cs="宋体"/>
          <w:spacing w:val="0"/>
          <w:kern w:val="0"/>
          <w:sz w:val="24"/>
          <w:szCs w:val="24"/>
          <w:u w:val="single"/>
          <w:lang w:val="en-US" w:eastAsia="zh-CN" w:bidi="ar"/>
        </w:rPr>
        <w:t xml:space="preserve">：     </w:t>
      </w:r>
      <w:r>
        <w:rPr>
          <w:rFonts w:hint="eastAsia" w:ascii="宋体" w:hAnsi="宋体" w:eastAsia="宋体" w:cs="宋体"/>
          <w:spacing w:val="0"/>
          <w:kern w:val="0"/>
          <w:sz w:val="24"/>
          <w:szCs w:val="24"/>
          <w:u w:val="none"/>
          <w:lang w:val="en-US" w:eastAsia="zh-CN" w:bidi="ar"/>
        </w:rPr>
        <w:t xml:space="preserve"> </w:t>
      </w:r>
      <w:r>
        <w:rPr>
          <w:rFonts w:hint="eastAsia" w:ascii="宋体" w:hAnsi="宋体" w:eastAsia="宋体" w:cs="宋体"/>
          <w:spacing w:val="0"/>
          <w:kern w:val="0"/>
          <w:sz w:val="24"/>
          <w:szCs w:val="24"/>
          <w:lang w:val="en-US" w:eastAsia="zh-CN" w:bidi="ar"/>
        </w:rPr>
        <w:t xml:space="preserve">  </w:t>
      </w:r>
      <w:r>
        <w:rPr>
          <w:rFonts w:hint="eastAsia" w:ascii="宋体" w:hAnsi="宋体" w:eastAsia="宋体" w:cs="宋体"/>
          <w:spacing w:val="0"/>
          <w:kern w:val="0"/>
          <w:sz w:val="24"/>
          <w:szCs w:val="24"/>
          <w:u w:val="single"/>
          <w:lang w:val="en-US" w:eastAsia="zh-CN" w:bidi="ar"/>
        </w:rPr>
        <w:t>元（¥     .00）</w:t>
      </w:r>
      <w:r>
        <w:rPr>
          <w:rFonts w:hint="eastAsia" w:ascii="宋体" w:hAnsi="宋体" w:eastAsia="宋体" w:cs="宋体"/>
          <w:spacing w:val="0"/>
          <w:kern w:val="0"/>
          <w:sz w:val="24"/>
          <w:szCs w:val="24"/>
          <w:lang w:val="en-US" w:eastAsia="zh-CN" w:bidi="ar"/>
        </w:rPr>
        <w:t>。该保证金在乙方供应的货物全部验收合格、合同约定事项全部履行完毕无未了事项后，30日内一次性无息退还。</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9、合同有效期</w:t>
      </w:r>
    </w:p>
    <w:p>
      <w:pPr>
        <w:widowControl/>
        <w:spacing w:line="460" w:lineRule="exact"/>
        <w:ind w:firstLine="480"/>
        <w:jc w:val="left"/>
        <w:rPr>
          <w:rFonts w:ascii="宋体" w:hAnsi="宋体"/>
          <w:color w:val="000000" w:themeColor="text1"/>
          <w:kern w:val="0"/>
          <w:sz w:val="24"/>
          <w:szCs w:val="24"/>
          <w14:textFill>
            <w14:solidFill>
              <w14:schemeClr w14:val="tx1"/>
            </w14:solidFill>
          </w14:textFill>
        </w:rPr>
      </w:pPr>
      <w:r>
        <w:rPr>
          <w:rFonts w:hint="eastAsia" w:ascii="Verdana" w:hAnsi="Verdana"/>
          <w:color w:val="000000" w:themeColor="text1"/>
          <w:sz w:val="24"/>
          <w:szCs w:val="24"/>
          <w:shd w:val="clear" w:color="auto" w:fill="FFFFFF"/>
          <w14:textFill>
            <w14:solidFill>
              <w14:schemeClr w14:val="tx1"/>
            </w14:solidFill>
          </w14:textFill>
        </w:rPr>
        <w:t>至</w:t>
      </w:r>
      <w:r>
        <w:rPr>
          <w:rFonts w:ascii="Verdana" w:hAnsi="Verdana"/>
          <w:color w:val="000000" w:themeColor="text1"/>
          <w:sz w:val="24"/>
          <w:szCs w:val="24"/>
          <w:shd w:val="clear" w:color="auto" w:fill="FFFFFF"/>
          <w14:textFill>
            <w14:solidFill>
              <w14:schemeClr w14:val="tx1"/>
            </w14:solidFill>
          </w14:textFill>
        </w:rPr>
        <w:t>合同约定的合同义务履行完毕</w:t>
      </w:r>
      <w:r>
        <w:rPr>
          <w:rFonts w:hint="eastAsia" w:ascii="Verdana" w:hAnsi="Verdana"/>
          <w:color w:val="000000" w:themeColor="text1"/>
          <w:sz w:val="24"/>
          <w:szCs w:val="24"/>
          <w:shd w:val="clear" w:color="auto" w:fill="FFFFFF"/>
          <w14:textFill>
            <w14:solidFill>
              <w14:schemeClr w14:val="tx1"/>
            </w14:solidFill>
          </w14:textFill>
        </w:rPr>
        <w:t>或依本合同约定合同解除或终止</w:t>
      </w:r>
      <w:r>
        <w:rPr>
          <w:rFonts w:ascii="宋体" w:hAnsi="宋体"/>
          <w:color w:val="000000" w:themeColor="text1"/>
          <w:kern w:val="0"/>
          <w:sz w:val="24"/>
          <w:szCs w:val="24"/>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10、违约责任</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10.1甲方在乙方将合同清单上的货物运达指定地点后15个工作日后无正当理由不接收的，或不及时验收的，乙方有权按规定提请有关部门依法处理，并根据处理结果依法由甲方赔偿乙方损失。</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10.2乙方所交货物不符合本合同要求的，甲方有权拒收；同时，乙方应向甲方赔偿该合同款30%的违约金，且涉及的部分合同条款甲方有权终止履行。</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10.3乙方不能按时交付货物的，每逾期1日，应按该合同款总额3‰标准向甲方支付日违约金，逾期超过15日的，甲方有权单方解除本合同，乙方除了应退还已收取的全部货款外，同时乙方还应向甲方偿付该合同款30%的违约金。</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10.4乙方未经甲方同意单方面终止合同的，乙方除了应向甲方赔偿因合同终止导致的损失外，还应向甲方偿付该合同款30%的违约金。</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10.5因乙方违约对甲方造成损失的赔偿金及合同约定的违约金均可由甲方从未支付的合同款或履约保证金中扣除。</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10.6乙方在货物运输、装卸、安装等各个环节中产生的一切意外事故，包括不可抗</w:t>
      </w:r>
      <w:bookmarkStart w:id="0" w:name="_GoBack"/>
      <w:bookmarkEnd w:id="0"/>
      <w:r>
        <w:rPr>
          <w:rFonts w:hint="eastAsia" w:ascii="宋体" w:hAnsi="宋体" w:eastAsia="宋体" w:cs="宋体"/>
          <w:spacing w:val="0"/>
          <w:sz w:val="24"/>
          <w:szCs w:val="24"/>
          <w:lang w:val="en-US" w:eastAsia="zh-CN"/>
        </w:rPr>
        <w:t>力因素造成的事故，造成货物或配件的损坏概由乙方负责。</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sz w:val="24"/>
          <w:szCs w:val="24"/>
          <w:lang w:val="en-US" w:eastAsia="zh-CN"/>
        </w:rPr>
        <w:t>10.7因甲方原因导致乙方未能按合同约定履行的，乙方可免于承担违约责任</w:t>
      </w:r>
      <w:r>
        <w:rPr>
          <w:rFonts w:hint="eastAsia" w:ascii="宋体" w:hAnsi="宋体" w:eastAsia="宋体" w:cs="宋体"/>
          <w:spacing w:val="0"/>
          <w:kern w:val="0"/>
          <w:sz w:val="24"/>
          <w:szCs w:val="24"/>
          <w:lang w:val="en-US" w:eastAsia="zh-CN" w:bidi="ar"/>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11、知识产权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并按本合同约定追究其违约责任。</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12、解决争议的方法</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12.1甲、乙双方协商解决。</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12.2若协商解决不成，向甲方所在地有管辖权的人民法院提起诉讼。</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13、不可抗力</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14、合同条款</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eastAsiaTheme="minorEastAsia"/>
          <w:color w:val="000000" w:themeColor="text1"/>
          <w:sz w:val="24"/>
          <w:szCs w:val="24"/>
          <w:lang w:eastAsia="zh-CN"/>
          <w14:textFill>
            <w14:solidFill>
              <w14:schemeClr w14:val="tx1"/>
            </w14:solidFill>
          </w14:textFill>
        </w:rPr>
      </w:pPr>
      <w:r>
        <w:rPr>
          <w:rFonts w:hint="eastAsia" w:ascii="宋体" w:hAnsi="宋体" w:eastAsia="宋体" w:cs="宋体"/>
          <w:spacing w:val="0"/>
          <w:sz w:val="24"/>
          <w:szCs w:val="24"/>
          <w:lang w:val="en-US" w:eastAsia="zh-CN"/>
        </w:rPr>
        <w:t>14.1</w:t>
      </w:r>
      <w:r>
        <w:rPr>
          <w:rFonts w:hint="eastAsia"/>
          <w:color w:val="000000" w:themeColor="text1"/>
          <w:sz w:val="24"/>
          <w:szCs w:val="24"/>
          <w14:textFill>
            <w14:solidFill>
              <w14:schemeClr w14:val="tx1"/>
            </w14:solidFill>
          </w14:textFill>
        </w:rPr>
        <w:t>货物主要技术参数</w:t>
      </w:r>
      <w:r>
        <w:rPr>
          <w:rFonts w:hint="eastAsia"/>
          <w:color w:val="000000" w:themeColor="text1"/>
          <w:sz w:val="24"/>
          <w:szCs w:val="24"/>
          <w:lang w:eastAsia="zh-CN"/>
          <w14:textFill>
            <w14:solidFill>
              <w14:schemeClr w14:val="tx1"/>
            </w14:solidFill>
          </w14:textFill>
        </w:rPr>
        <w:t>要求</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14.2</w:t>
      </w:r>
      <w:r>
        <w:rPr>
          <w:rFonts w:hint="eastAsia"/>
          <w:color w:val="000000" w:themeColor="text1"/>
          <w:sz w:val="24"/>
          <w:szCs w:val="24"/>
          <w14:textFill>
            <w14:solidFill>
              <w14:schemeClr w14:val="tx1"/>
            </w14:solidFill>
          </w14:textFill>
        </w:rPr>
        <w:t>质量保证及售后服务</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15、其他约定</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15.1合同文件与本合同具有同等法律效力。</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15.2本合同未尽事宜，双方可另行补充。</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15.3本合同自签订之日起生效。</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lang w:val="en-US" w:eastAsia="zh-CN"/>
        </w:rPr>
        <w:t>肆</w:t>
      </w:r>
      <w:r>
        <w:rPr>
          <w:rFonts w:hint="eastAsia" w:ascii="宋体" w:hAnsi="宋体" w:eastAsia="宋体" w:cs="宋体"/>
          <w:spacing w:val="0"/>
          <w:sz w:val="24"/>
          <w:szCs w:val="24"/>
        </w:rPr>
        <w:t>份，经双方授权代表签字并盖章后生效。甲方</w:t>
      </w:r>
      <w:r>
        <w:rPr>
          <w:rFonts w:hint="eastAsia" w:ascii="宋体" w:hAnsi="宋体" w:eastAsia="宋体" w:cs="宋体"/>
          <w:spacing w:val="0"/>
          <w:sz w:val="24"/>
          <w:szCs w:val="24"/>
          <w:lang w:eastAsia="zh-CN"/>
        </w:rPr>
        <w:t>壹、</w:t>
      </w:r>
      <w:r>
        <w:rPr>
          <w:rFonts w:hint="eastAsia" w:ascii="宋体" w:hAnsi="宋体" w:eastAsia="宋体" w:cs="宋体"/>
          <w:spacing w:val="0"/>
          <w:sz w:val="24"/>
          <w:szCs w:val="24"/>
        </w:rPr>
        <w:t>乙方</w:t>
      </w:r>
      <w:r>
        <w:rPr>
          <w:rFonts w:hint="eastAsia" w:ascii="宋体" w:hAnsi="宋体" w:eastAsia="宋体" w:cs="宋体"/>
          <w:spacing w:val="0"/>
          <w:sz w:val="24"/>
          <w:szCs w:val="24"/>
          <w:lang w:eastAsia="zh-CN"/>
        </w:rPr>
        <w:t>叁</w:t>
      </w:r>
      <w:r>
        <w:rPr>
          <w:rFonts w:hint="eastAsia" w:ascii="宋体" w:hAnsi="宋体" w:eastAsia="宋体" w:cs="宋体"/>
          <w:spacing w:val="0"/>
          <w:sz w:val="24"/>
          <w:szCs w:val="24"/>
        </w:rPr>
        <w:t>份。</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pacing w:val="0"/>
          <w:sz w:val="24"/>
          <w:szCs w:val="24"/>
        </w:rPr>
        <w:t>（以下无正文）</w:t>
      </w:r>
    </w:p>
    <w:tbl>
      <w:tblPr>
        <w:tblStyle w:val="5"/>
        <w:tblpPr w:leftFromText="180" w:rightFromText="180" w:vertAnchor="text" w:horzAnchor="margin" w:tblpXSpec="center" w:tblpY="329"/>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3426"/>
        <w:gridCol w:w="1530"/>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424"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w:t>
            </w:r>
          </w:p>
        </w:tc>
        <w:tc>
          <w:tcPr>
            <w:tcW w:w="3426" w:type="dxa"/>
            <w:noWrap w:val="0"/>
            <w:vAlign w:val="center"/>
          </w:tcPr>
          <w:p>
            <w:pPr>
              <w:pStyle w:val="2"/>
              <w:keepNext w:val="0"/>
              <w:keepLines w:val="0"/>
              <w:pageBreakBefore w:val="0"/>
              <w:kinsoku/>
              <w:wordWrap/>
              <w:overflowPunct/>
              <w:topLinePunct w:val="0"/>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单位名称</w:t>
            </w:r>
            <w:r>
              <w:rPr>
                <w:rFonts w:hint="eastAsia" w:ascii="宋体" w:hAnsi="宋体" w:eastAsia="宋体" w:cs="宋体"/>
                <w:sz w:val="24"/>
                <w:szCs w:val="24"/>
                <w:u w:val="single"/>
                <w:lang w:val="en-US" w:eastAsia="zh-CN"/>
              </w:rPr>
              <w:t xml:space="preserve">  </w:t>
            </w:r>
            <w:r>
              <w:rPr>
                <w:rFonts w:hint="eastAsia" w:ascii="宋体" w:hAnsi="宋体"/>
                <w:kern w:val="0"/>
                <w:sz w:val="24"/>
                <w:szCs w:val="24"/>
              </w:rPr>
              <w:t>（公章）</w:t>
            </w: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乙</w:t>
            </w:r>
            <w:r>
              <w:rPr>
                <w:rFonts w:hint="eastAsia" w:ascii="宋体" w:hAnsi="宋体" w:eastAsia="宋体" w:cs="宋体"/>
                <w:sz w:val="24"/>
                <w:szCs w:val="24"/>
              </w:rPr>
              <w:t>方</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24"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color w:val="000000" w:themeColor="text1"/>
                <w:kern w:val="0"/>
                <w:sz w:val="24"/>
                <w:szCs w:val="24"/>
                <w14:textFill>
                  <w14:solidFill>
                    <w14:schemeClr w14:val="tx1"/>
                  </w14:solidFill>
                </w14:textFill>
              </w:rPr>
              <w:t>住所</w:t>
            </w:r>
          </w:p>
        </w:tc>
        <w:tc>
          <w:tcPr>
            <w:tcW w:w="3426" w:type="dxa"/>
            <w:noWrap w:val="0"/>
            <w:vAlign w:val="center"/>
          </w:tcPr>
          <w:p>
            <w:pPr>
              <w:pStyle w:val="2"/>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color w:val="000000"/>
                <w:sz w:val="21"/>
                <w:szCs w:val="21"/>
              </w:rPr>
              <w:t>泉州市丰泽区东海大街398号</w:t>
            </w: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color w:val="000000" w:themeColor="text1"/>
                <w:kern w:val="0"/>
                <w:sz w:val="24"/>
                <w:szCs w:val="24"/>
                <w14:textFill>
                  <w14:solidFill>
                    <w14:schemeClr w14:val="tx1"/>
                  </w14:solidFill>
                </w14:textFill>
              </w:rPr>
              <w:t>住所</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24" w:type="dxa"/>
            <w:vMerge w:val="restart"/>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单位负责人</w:t>
            </w:r>
          </w:p>
        </w:tc>
        <w:tc>
          <w:tcPr>
            <w:tcW w:w="3426" w:type="dxa"/>
            <w:vMerge w:val="restart"/>
            <w:noWrap w:val="0"/>
            <w:vAlign w:val="center"/>
          </w:tcPr>
          <w:p>
            <w:pPr>
              <w:pStyle w:val="2"/>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单位负责人</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24" w:type="dxa"/>
            <w:vMerge w:val="continue"/>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p>
        </w:tc>
        <w:tc>
          <w:tcPr>
            <w:tcW w:w="3426" w:type="dxa"/>
            <w:vMerge w:val="continue"/>
            <w:noWrap w:val="0"/>
            <w:vAlign w:val="center"/>
          </w:tcPr>
          <w:p>
            <w:pPr>
              <w:pStyle w:val="2"/>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委托代理人</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24"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3426" w:type="dxa"/>
            <w:noWrap w:val="0"/>
            <w:vAlign w:val="center"/>
          </w:tcPr>
          <w:p>
            <w:pPr>
              <w:pStyle w:val="2"/>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24"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3426" w:type="dxa"/>
            <w:noWrap w:val="0"/>
            <w:vAlign w:val="center"/>
          </w:tcPr>
          <w:p>
            <w:pPr>
              <w:shd w:val="clear" w:color="auto" w:fill="FFFFFF"/>
              <w:adjustRightInd/>
              <w:snapToGrid/>
              <w:spacing w:after="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泉州市建行丰泽支行</w:t>
            </w: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24"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3426" w:type="dxa"/>
            <w:noWrap w:val="0"/>
            <w:vAlign w:val="center"/>
          </w:tcPr>
          <w:p>
            <w:pPr>
              <w:shd w:val="clear" w:color="auto" w:fill="FFFFFF"/>
              <w:adjustRightInd/>
              <w:snapToGrid/>
              <w:spacing w:after="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35001656007059000262</w:t>
            </w: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bl>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z w:val="24"/>
          <w:szCs w:val="24"/>
        </w:rPr>
      </w:pPr>
      <w:r>
        <w:rPr>
          <w:rFonts w:hint="eastAsia" w:ascii="宋体" w:hAnsi="宋体" w:eastAsia="宋体" w:cs="宋体"/>
          <w:spacing w:val="0"/>
          <w:sz w:val="24"/>
          <w:szCs w:val="24"/>
        </w:rPr>
        <w:t>签订地点： </w:t>
      </w:r>
      <w:r>
        <w:rPr>
          <w:rFonts w:hint="eastAsia" w:ascii="宋体" w:hAnsi="宋体" w:eastAsia="宋体" w:cs="宋体"/>
          <w:spacing w:val="0"/>
          <w:sz w:val="24"/>
          <w:szCs w:val="24"/>
          <w:lang w:eastAsia="zh-CN"/>
        </w:rPr>
        <w:t>泉州师范学院主校区</w:t>
      </w:r>
      <w:r>
        <w:rPr>
          <w:rFonts w:hint="eastAsia" w:ascii="宋体" w:hAnsi="宋体" w:eastAsia="宋体" w:cs="宋体"/>
          <w:spacing w:val="0"/>
          <w:sz w:val="24"/>
          <w:szCs w:val="24"/>
        </w:rPr>
        <w:t>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签订日期：</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年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月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Yuen PRC SemiBold">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279E1747"/>
    <w:rsid w:val="095B599F"/>
    <w:rsid w:val="0A8502A5"/>
    <w:rsid w:val="0DC3092A"/>
    <w:rsid w:val="167E343F"/>
    <w:rsid w:val="279E1747"/>
    <w:rsid w:val="3102726E"/>
    <w:rsid w:val="3C4004AA"/>
    <w:rsid w:val="43821C80"/>
    <w:rsid w:val="48446871"/>
    <w:rsid w:val="49336FBA"/>
    <w:rsid w:val="4D585B4D"/>
    <w:rsid w:val="5FF04A9B"/>
    <w:rsid w:val="719C3060"/>
    <w:rsid w:val="7D8E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MYuen PRC SemiBold" w:hAnsi="MYuen PRC SemiBold" w:eastAsia="MYuen PRC SemiBold" w:cs="MYuen PRC SemiBold"/>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Placeholder Text"/>
    <w:basedOn w:val="6"/>
    <w:unhideWhenUsed/>
    <w:qFormat/>
    <w:uiPriority w:val="99"/>
    <w:rPr>
      <w:color w:val="808080"/>
    </w:rPr>
  </w:style>
  <w:style w:type="paragraph" w:customStyle="1" w:styleId="9">
    <w:name w:val="标准"/>
    <w:basedOn w:val="1"/>
    <w:qFormat/>
    <w:uiPriority w:val="0"/>
    <w:pPr>
      <w:spacing w:line="360" w:lineRule="auto"/>
      <w:ind w:firstLine="20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2020-10-07T07:51:00Z</dcterms:created>
  <dc:creator>骑着蜗牛上高速</dc:creator>
  <cp:lastModifiedBy>Aaronso</cp:lastModifiedBy>
  <dcterms:modified xsi:type="dcterms:W3CDTF">2025-11-17T08:36:47Z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E4263B61C9894A74B4469F805EF7EA12</vt:lpwstr>
  </property>
</Properties>
</file>