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QZTCWLZX2022001                  </w:t>
      </w:r>
    </w:p>
    <w:p>
      <w:pPr>
        <w:ind w:left="3165" w:leftChars="688" w:hanging="1720" w:hangingChars="476"/>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浅水湾创业实训大楼三楼及以下校园网建设采购项目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网络中心</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2022</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11</w:t>
      </w:r>
      <w:r>
        <w:rPr>
          <w:rFonts w:hint="eastAsia" w:ascii="宋体" w:hAnsi="宋体"/>
          <w:b/>
          <w:color w:val="auto"/>
          <w:sz w:val="36"/>
          <w:szCs w:val="36"/>
          <w:highlight w:val="none"/>
        </w:rPr>
        <w:t>月</w:t>
      </w:r>
    </w:p>
    <w:p>
      <w:pPr>
        <w:pStyle w:val="2"/>
        <w:rPr>
          <w:rFonts w:hint="eastAsia"/>
          <w:color w:val="auto"/>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bookmarkStart w:id="102" w:name="_GoBack"/>
      <w:bookmarkEnd w:id="102"/>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0" w:name="_Toc134733479"/>
      <w:bookmarkStart w:id="1" w:name="_Toc26208"/>
      <w:bookmarkStart w:id="2" w:name="_Toc10914"/>
      <w:bookmarkStart w:id="3" w:name="_Toc18223"/>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8672988"/>
      <w:bookmarkStart w:id="6" w:name="_Toc105389203"/>
      <w:bookmarkStart w:id="7" w:name="_Toc93397984"/>
      <w:bookmarkStart w:id="8" w:name="_Toc40761347"/>
      <w:bookmarkStart w:id="9" w:name="_Toc35222536"/>
      <w:bookmarkStart w:id="10" w:name="_Toc53335577"/>
      <w:bookmarkStart w:id="11" w:name="_Toc34789935"/>
      <w:bookmarkStart w:id="12" w:name="_Toc425276503"/>
      <w:bookmarkStart w:id="13" w:name="_Toc35622007"/>
      <w:bookmarkStart w:id="14" w:name="_Toc3785675"/>
      <w:bookmarkStart w:id="15" w:name="_Toc108260365"/>
      <w:bookmarkStart w:id="16" w:name="_Toc87857945"/>
      <w:bookmarkStart w:id="17" w:name="_Toc98731630"/>
      <w:bookmarkStart w:id="18" w:name="_Toc35068743"/>
      <w:bookmarkStart w:id="19" w:name="_Toc34745149"/>
      <w:bookmarkStart w:id="20" w:name="_Toc93397582"/>
      <w:bookmarkStart w:id="21" w:name="_Toc3785513"/>
      <w:bookmarkStart w:id="22" w:name="_Toc34664278"/>
      <w:bookmarkStart w:id="23" w:name="_Toc53570175"/>
      <w:bookmarkStart w:id="24" w:name="_Toc35599967"/>
      <w:bookmarkStart w:id="25" w:name="_Toc108257397"/>
      <w:bookmarkStart w:id="26" w:name="_Toc108257466"/>
      <w:bookmarkStart w:id="27" w:name="_Toc60130052"/>
      <w:bookmarkStart w:id="28" w:name="_Toc35941127"/>
      <w:bookmarkStart w:id="29" w:name="_Toc33953164"/>
      <w:bookmarkStart w:id="30" w:name="_Toc33775520"/>
      <w:bookmarkStart w:id="31" w:name="_Toc54513051"/>
      <w:bookmarkStart w:id="32" w:name="_Toc35742634"/>
      <w:bookmarkStart w:id="33" w:name="_Toc35107772"/>
      <w:bookmarkStart w:id="34" w:name="_Toc3785637"/>
      <w:bookmarkStart w:id="35" w:name="_Toc35071897"/>
      <w:bookmarkStart w:id="36" w:name="_Toc34703823"/>
      <w:bookmarkStart w:id="37" w:name="_Toc36146204"/>
      <w:bookmarkStart w:id="38" w:name="_Toc108257590"/>
      <w:bookmarkStart w:id="39" w:name="_Toc36123671"/>
      <w:bookmarkStart w:id="40" w:name="_Toc108257116"/>
      <w:bookmarkStart w:id="41" w:name="_Toc3785461"/>
      <w:r>
        <w:rPr>
          <w:rFonts w:hint="eastAsia" w:ascii="宋体" w:hAnsi="宋体"/>
          <w:i w:val="0"/>
          <w:iCs w:val="0"/>
          <w:color w:val="auto"/>
          <w:sz w:val="24"/>
          <w:szCs w:val="24"/>
          <w:highlight w:val="none"/>
          <w:u w:val="single"/>
          <w:lang w:val="en-US" w:eastAsia="zh-CN"/>
        </w:rPr>
        <w:t xml:space="preserve"> 泉州师范学院网络中心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QZTCWLZX2022001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浅水湾创业实训大楼三楼及以下校园网建设采购项目  </w:t>
      </w:r>
    </w:p>
    <w:p>
      <w:pPr>
        <w:pStyle w:val="2"/>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¥90000.00元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491700004"/>
      <w:bookmarkStart w:id="43" w:name="_Toc13469"/>
      <w:bookmarkStart w:id="44" w:name="_Toc26626"/>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eastAsia="宋体"/>
                <w:color w:val="auto"/>
                <w:highlight w:val="none"/>
                <w:lang w:eastAsia="zh-CN"/>
              </w:rPr>
              <w:t>浅水湾创业实训大楼</w:t>
            </w:r>
            <w:r>
              <w:rPr>
                <w:rFonts w:hint="eastAsia" w:ascii="宋体" w:hAnsi="宋体"/>
                <w:color w:val="auto"/>
                <w:highlight w:val="none"/>
                <w:lang w:eastAsia="zh-CN"/>
              </w:rPr>
              <w:t>三楼及以下校园网建设采购项目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90000.00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2022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5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15:00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2022 年 12 月 5 日 15:30 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荣茂综合楼308室</w:t>
      </w:r>
      <w:r>
        <w:rPr>
          <w:rFonts w:hint="eastAsia" w:ascii="宋体" w:hAnsi="宋体"/>
          <w:i w:val="0"/>
          <w:iCs w:val="0"/>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陈老师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059522911950 </w:t>
      </w:r>
      <w:r>
        <w:rPr>
          <w:rFonts w:hint="eastAsia" w:ascii="宋体" w:hAnsi="宋体" w:cs="宋体"/>
          <w:color w:val="auto"/>
          <w:kern w:val="2"/>
          <w:sz w:val="24"/>
          <w:szCs w:val="24"/>
          <w:highlight w:val="none"/>
          <w:lang w:val="zh-CN" w:eastAsia="zh-CN" w:bidi="ar-SA"/>
        </w:rPr>
        <w:t>。</w:t>
      </w:r>
    </w:p>
    <w:p>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采购人：泉州师范学院网络中心</w:t>
            </w:r>
          </w:p>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w:t>
            </w:r>
            <w:r>
              <w:rPr>
                <w:rFonts w:hint="eastAsia" w:ascii="宋体" w:hAnsi="宋体" w:cs="宋体"/>
                <w:color w:val="auto"/>
                <w:sz w:val="24"/>
                <w:szCs w:val="24"/>
                <w:highlight w:val="none"/>
                <w:lang w:val="en-US" w:eastAsia="zh-CN"/>
              </w:rPr>
              <w:t>履约</w:t>
            </w:r>
            <w:r>
              <w:rPr>
                <w:rFonts w:hint="eastAsia" w:ascii="宋体" w:hAnsi="宋体" w:cs="宋体"/>
                <w:color w:val="auto"/>
                <w:sz w:val="24"/>
                <w:szCs w:val="24"/>
                <w:highlight w:val="none"/>
                <w:lang w:eastAsia="zh-CN"/>
              </w:rPr>
              <w:t>保证金</w:t>
            </w:r>
            <w:r>
              <w:rPr>
                <w:rFonts w:hint="eastAsia" w:ascii="宋体" w:hAnsi="宋体"/>
                <w:b/>
                <w:bCs/>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b/>
                <w:color w:val="auto"/>
                <w:sz w:val="24"/>
                <w:highlight w:val="none"/>
                <w:lang w:val="en-US" w:eastAsia="zh-CN"/>
              </w:rPr>
            </w:pPr>
            <w:bookmarkStart w:id="47" w:name="_Toc12454"/>
            <w:bookmarkStart w:id="48" w:name="_Toc5918"/>
            <w:bookmarkStart w:id="49" w:name="_Toc4338"/>
            <w:r>
              <w:rPr>
                <w:rFonts w:hint="eastAsia"/>
                <w:b/>
                <w:color w:val="auto"/>
                <w:sz w:val="24"/>
                <w:highlight w:val="none"/>
                <w:lang w:val="en-US" w:eastAsia="zh-CN"/>
              </w:rPr>
              <w:t>14</w:t>
            </w:r>
          </w:p>
        </w:tc>
        <w:tc>
          <w:tcPr>
            <w:tcW w:w="8951" w:type="dxa"/>
            <w:noWrap w:val="0"/>
            <w:vAlign w:val="center"/>
          </w:tcPr>
          <w:p>
            <w:pPr>
              <w:spacing w:line="440" w:lineRule="exact"/>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报价供应商应详细勘察项目建设现场的实际状况，并根据勘察结果作出合理判断，计算并承担建设所需的全部费用。</w:t>
            </w:r>
          </w:p>
        </w:tc>
      </w:tr>
    </w:tbl>
    <w:p>
      <w:pPr>
        <w:pStyle w:val="3"/>
        <w:spacing w:before="120" w:after="120" w:line="440" w:lineRule="exact"/>
        <w:jc w:val="both"/>
        <w:rPr>
          <w:rFonts w:hint="eastAsia" w:ascii="宋体" w:hAnsi="宋体" w:eastAsia="宋体"/>
          <w:color w:val="auto"/>
          <w:sz w:val="36"/>
          <w:szCs w:val="36"/>
          <w:highlight w:val="none"/>
          <w:lang w:val="en-US" w:eastAsia="zh-CN"/>
        </w:rPr>
      </w:pPr>
    </w:p>
    <w:p>
      <w:pPr>
        <w:rPr>
          <w:rFonts w:hint="eastAsia"/>
          <w:color w:val="auto"/>
          <w:lang w:val="en-US" w:eastAsia="zh-CN"/>
        </w:rPr>
      </w:pPr>
    </w:p>
    <w:bookmarkEnd w:id="47"/>
    <w:bookmarkEnd w:id="48"/>
    <w:bookmarkEnd w:id="49"/>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7"/>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162"/>
        <w:gridCol w:w="6493"/>
        <w:gridCol w:w="860"/>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shd w:val="clear" w:color="000000" w:fill="FFFFFF"/>
            <w:vAlign w:val="center"/>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序号</w:t>
            </w:r>
          </w:p>
        </w:tc>
        <w:tc>
          <w:tcPr>
            <w:tcW w:w="1162" w:type="dxa"/>
            <w:shd w:val="clear" w:color="000000" w:fill="FFFFFF"/>
            <w:vAlign w:val="center"/>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名称</w:t>
            </w:r>
          </w:p>
        </w:tc>
        <w:tc>
          <w:tcPr>
            <w:tcW w:w="6493" w:type="dxa"/>
            <w:shd w:val="clear" w:color="000000" w:fill="FFFFFF"/>
            <w:vAlign w:val="center"/>
          </w:tcPr>
          <w:p>
            <w:pPr>
              <w:pStyle w:val="13"/>
              <w:widowControl/>
              <w:spacing w:before="0" w:beforeAutospacing="0" w:after="0" w:afterAutospacing="0"/>
              <w:jc w:val="center"/>
              <w:textAlignment w:val="center"/>
              <w:rPr>
                <w:rFonts w:cs="宋体" w:asciiTheme="minorEastAsia" w:hAnsiTheme="minorEastAsia" w:eastAsiaTheme="minorEastAsia"/>
                <w:color w:val="auto"/>
                <w:sz w:val="21"/>
                <w:szCs w:val="21"/>
              </w:rPr>
            </w:pPr>
            <w:r>
              <w:rPr>
                <w:rStyle w:val="19"/>
                <w:rFonts w:hint="eastAsia" w:cs="宋体" w:asciiTheme="minorEastAsia" w:hAnsiTheme="minorEastAsia" w:eastAsiaTheme="minorEastAsia"/>
                <w:color w:val="auto"/>
                <w:sz w:val="21"/>
                <w:szCs w:val="21"/>
              </w:rPr>
              <w:t>规格及技术指标</w:t>
            </w:r>
          </w:p>
        </w:tc>
        <w:tc>
          <w:tcPr>
            <w:tcW w:w="860" w:type="dxa"/>
            <w:shd w:val="clear" w:color="000000" w:fill="FFFFFF"/>
          </w:tcPr>
          <w:p>
            <w:pPr>
              <w:pStyle w:val="13"/>
              <w:widowControl/>
              <w:spacing w:before="0" w:beforeAutospacing="0" w:after="0" w:afterAutospacing="0"/>
              <w:jc w:val="center"/>
              <w:textAlignment w:val="center"/>
              <w:rPr>
                <w:rFonts w:cs="宋体" w:asciiTheme="minorEastAsia" w:hAnsiTheme="minorEastAsia" w:eastAsiaTheme="minorEastAsia"/>
                <w:color w:val="auto"/>
                <w:sz w:val="21"/>
                <w:szCs w:val="21"/>
              </w:rPr>
            </w:pPr>
            <w:r>
              <w:rPr>
                <w:rStyle w:val="19"/>
                <w:rFonts w:hint="eastAsia" w:cs="宋体" w:asciiTheme="minorEastAsia" w:hAnsiTheme="minorEastAsia" w:eastAsiaTheme="minorEastAsia"/>
                <w:color w:val="auto"/>
                <w:sz w:val="21"/>
                <w:szCs w:val="21"/>
              </w:rPr>
              <w:t>单位</w:t>
            </w:r>
          </w:p>
        </w:tc>
        <w:tc>
          <w:tcPr>
            <w:tcW w:w="841" w:type="dxa"/>
            <w:shd w:val="clear" w:color="000000" w:fill="FFFFFF"/>
          </w:tcPr>
          <w:p>
            <w:pPr>
              <w:pStyle w:val="13"/>
              <w:widowControl/>
              <w:spacing w:before="0" w:beforeAutospacing="0" w:after="0" w:afterAutospacing="0"/>
              <w:jc w:val="center"/>
              <w:textAlignment w:val="center"/>
              <w:rPr>
                <w:rFonts w:cs="宋体" w:asciiTheme="minorEastAsia" w:hAnsiTheme="minorEastAsia" w:eastAsiaTheme="minorEastAsia"/>
                <w:color w:val="auto"/>
                <w:sz w:val="21"/>
                <w:szCs w:val="21"/>
              </w:rPr>
            </w:pPr>
            <w:r>
              <w:rPr>
                <w:rStyle w:val="19"/>
                <w:rFonts w:hint="eastAsia" w:cs="宋体" w:asciiTheme="minorEastAsia" w:hAnsiTheme="minorEastAsia" w:eastAsiaTheme="minorEastAsia"/>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1" w:type="dxa"/>
            <w:shd w:val="clear" w:color="000000" w:fill="FFFFFF"/>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1162" w:type="dxa"/>
            <w:shd w:val="clear" w:color="000000" w:fill="FFFFFF"/>
            <w:vAlign w:val="center"/>
          </w:tcPr>
          <w:p>
            <w:pPr>
              <w:jc w:val="center"/>
              <w:rPr>
                <w:rFonts w:asciiTheme="minorEastAsia" w:hAnsiTheme="minorEastAsia"/>
                <w:color w:val="auto"/>
                <w:szCs w:val="21"/>
              </w:rPr>
            </w:pPr>
            <w:r>
              <w:rPr>
                <w:rFonts w:hint="eastAsia" w:asciiTheme="minorEastAsia" w:hAnsiTheme="minorEastAsia"/>
                <w:color w:val="auto"/>
                <w:szCs w:val="21"/>
              </w:rPr>
              <w:t>24口</w:t>
            </w:r>
          </w:p>
          <w:p>
            <w:pPr>
              <w:jc w:val="center"/>
              <w:rPr>
                <w:rFonts w:cs="宋体" w:asciiTheme="minorEastAsia" w:hAnsiTheme="minorEastAsia"/>
                <w:color w:val="auto"/>
                <w:szCs w:val="21"/>
              </w:rPr>
            </w:pPr>
            <w:r>
              <w:rPr>
                <w:rFonts w:hint="eastAsia" w:asciiTheme="minorEastAsia" w:hAnsiTheme="minorEastAsia"/>
                <w:color w:val="auto"/>
                <w:szCs w:val="21"/>
              </w:rPr>
              <w:t>接入交换机</w:t>
            </w:r>
          </w:p>
        </w:tc>
        <w:tc>
          <w:tcPr>
            <w:tcW w:w="6493" w:type="dxa"/>
            <w:shd w:val="clear" w:color="000000" w:fill="FFFFFF"/>
            <w:vAlign w:val="center"/>
          </w:tcPr>
          <w:p>
            <w:pPr>
              <w:pStyle w:val="25"/>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1、固化10/100/1000M以太网端口≥24，固化1G/10G SFP+万兆光接口≥4个；整机最大可用千兆口≥24，最大可用万兆口≥4，交换容量≥3.3Tbps，转发性能≥120Mpps ；</w:t>
            </w:r>
          </w:p>
          <w:p>
            <w:pPr>
              <w:pStyle w:val="25"/>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2、支持固化电源，减少单点故障，便于维护；支持IPv4和IPv6的静态路由、RIP/RIPng、OSPFv2/OSPFv3等三层路由协议；要求所投设备MAC地址≥16K；ARP表项≥1000条,FIB表项≥500；</w:t>
            </w:r>
          </w:p>
          <w:p>
            <w:pPr>
              <w:pStyle w:val="25"/>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3、支持IP标准、IP扩展、MAC扩展、专家级、ACL80、IPV6ACL、基于VLAN、基于端口、基于协议、基于全局等方式的访问控制列表；且支持ACL Logging、ACL Counter、ACL Remark、ACL重定向；要求所投设备支持1对1、1对多、多对1和基于流的镜像；且支持RSPAN和ERSPAN；支持虚拟化功能 （非堆叠模块实现，不占用扩展槽）；要求所投产品支持ITU-TG.8032国际公有环网协议ERPS,支持相切环和相交环，并且链路故障的收敛时间≤50ms；支持虚拟化功能，可将多台物理设备虚拟化为一台逻辑设备统一管理，并且链路故障的收敛时间≤30ms；</w:t>
            </w:r>
          </w:p>
          <w:p>
            <w:pPr>
              <w:pStyle w:val="25"/>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4、为保证SDN的部署，所投交换机需支持OpenFlow 1.3协议；</w:t>
            </w:r>
          </w:p>
          <w:p>
            <w:pPr>
              <w:pStyle w:val="25"/>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支持专门针对CPU保护机制的CPP功能，可将送CPU的报文，如ARP报文的速率进行限制，使CPU的使用率降低到10%以内，保障了CPU安全；为了避免强雷雨天气，设备遭受雷击损坏；要求所投产品端口浪涌抗扰度≥10KV；支持24*Gbe+4*10Gbe 100%线速转发；</w:t>
            </w:r>
          </w:p>
          <w:p>
            <w:pPr>
              <w:pStyle w:val="25"/>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支持专门基础网络保护机制的NFPP功能，支持多种类型的防护，如ARP防护，当ARP速率超过攻击水线，对有攻击行为的用户进行隔离，保证设备和整网的安全稳定运行；设备自带云管理功能，支持一键设备发现，并在线生成交付验收报告；支持一键全网巡检操作，随时随地掌握网络健康状况，并自动生成巡检报告；支持短信认证、微</w:t>
            </w:r>
            <w:r>
              <w:rPr>
                <w:rFonts w:hint="eastAsia" w:cs="Times New Roman" w:asciiTheme="minorEastAsia" w:hAnsiTheme="minorEastAsia" w:eastAsiaTheme="minorEastAsia"/>
                <w:color w:val="auto"/>
                <w:sz w:val="21"/>
                <w:szCs w:val="21"/>
              </w:rPr>
              <w:t>信认证、web认证，支持认证页面自定义；支持一键升级、定时升级网络中的网络设备；支持分级分权功能，实现分布区域，统一管理等。（提供具有 CMA或CAL或 CNAS认证章的第三方权威机构检验报告证明）</w:t>
            </w:r>
          </w:p>
        </w:tc>
        <w:tc>
          <w:tcPr>
            <w:tcW w:w="860"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台</w:t>
            </w:r>
          </w:p>
        </w:tc>
        <w:tc>
          <w:tcPr>
            <w:tcW w:w="841"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1" w:type="dxa"/>
            <w:shd w:val="clear" w:color="000000" w:fill="FFFFFF"/>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2</w:t>
            </w:r>
          </w:p>
        </w:tc>
        <w:tc>
          <w:tcPr>
            <w:tcW w:w="1162"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万兆单模光模块</w:t>
            </w:r>
          </w:p>
        </w:tc>
        <w:tc>
          <w:tcPr>
            <w:tcW w:w="6493" w:type="dxa"/>
            <w:shd w:val="clear" w:color="000000" w:fill="FFFFFF"/>
            <w:vAlign w:val="center"/>
          </w:tcPr>
          <w:p>
            <w:pPr>
              <w:widowControl/>
              <w:rPr>
                <w:rFonts w:asciiTheme="minorEastAsia" w:hAnsiTheme="minorEastAsia"/>
                <w:color w:val="auto"/>
                <w:szCs w:val="21"/>
              </w:rPr>
            </w:pPr>
            <w:r>
              <w:rPr>
                <w:rFonts w:hint="eastAsia" w:asciiTheme="minorEastAsia" w:hAnsiTheme="minorEastAsia"/>
                <w:color w:val="auto"/>
                <w:szCs w:val="21"/>
              </w:rPr>
              <w:t>万兆LC接口模块（1310nm），10km，适用于SFP+接口</w:t>
            </w:r>
          </w:p>
        </w:tc>
        <w:tc>
          <w:tcPr>
            <w:tcW w:w="860"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块</w:t>
            </w:r>
          </w:p>
        </w:tc>
        <w:tc>
          <w:tcPr>
            <w:tcW w:w="841"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1" w:type="dxa"/>
            <w:shd w:val="clear" w:color="000000" w:fill="FFFFFF"/>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3</w:t>
            </w:r>
          </w:p>
        </w:tc>
        <w:tc>
          <w:tcPr>
            <w:tcW w:w="1162"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六类网线</w:t>
            </w:r>
          </w:p>
        </w:tc>
        <w:tc>
          <w:tcPr>
            <w:tcW w:w="6493" w:type="dxa"/>
            <w:shd w:val="clear" w:color="000000" w:fill="FFFFFF"/>
            <w:vAlign w:val="center"/>
          </w:tcPr>
          <w:p>
            <w:pPr>
              <w:widowControl/>
              <w:ind w:right="178" w:rightChars="85"/>
              <w:rPr>
                <w:rFonts w:hint="eastAsia" w:asciiTheme="minorEastAsia" w:hAnsiTheme="minorEastAsia"/>
                <w:color w:val="auto"/>
                <w:szCs w:val="21"/>
              </w:rPr>
            </w:pPr>
            <w:r>
              <w:rPr>
                <w:rFonts w:hint="eastAsia" w:asciiTheme="minorEastAsia" w:hAnsiTheme="minorEastAsia"/>
                <w:color w:val="auto"/>
                <w:szCs w:val="21"/>
              </w:rPr>
              <w:t>1、性能符合ANSI/TIA-568-C.2-2009、GB/T 50312-2016、IEC 61156-5六类标准；</w:t>
            </w:r>
          </w:p>
          <w:p>
            <w:pPr>
              <w:widowControl/>
              <w:ind w:right="178" w:rightChars="85"/>
              <w:rPr>
                <w:rFonts w:hint="eastAsia" w:asciiTheme="minorEastAsia" w:hAnsiTheme="minorEastAsia"/>
                <w:color w:val="auto"/>
                <w:szCs w:val="21"/>
              </w:rPr>
            </w:pPr>
            <w:r>
              <w:rPr>
                <w:rFonts w:hint="eastAsia" w:asciiTheme="minorEastAsia" w:hAnsiTheme="minorEastAsia"/>
                <w:color w:val="auto"/>
                <w:szCs w:val="21"/>
              </w:rPr>
              <w:t>2、用于语音、数据、图像、多媒体等信息传输，支持当前及今后较长时间数据业务的高带宽应用；</w:t>
            </w:r>
          </w:p>
          <w:p>
            <w:pPr>
              <w:widowControl/>
              <w:ind w:right="178" w:rightChars="85"/>
              <w:rPr>
                <w:rFonts w:hint="eastAsia" w:asciiTheme="minorEastAsia" w:hAnsiTheme="minorEastAsia"/>
                <w:color w:val="auto"/>
                <w:szCs w:val="21"/>
              </w:rPr>
            </w:pPr>
            <w:r>
              <w:rPr>
                <w:rFonts w:hint="eastAsia" w:asciiTheme="minorEastAsia" w:hAnsiTheme="minorEastAsia"/>
                <w:color w:val="auto"/>
                <w:szCs w:val="21"/>
              </w:rPr>
              <w:t>3、中心PE十字骨架分开了线对并维持稳定的线对位置，减小了近端串扰损耗（NEXT）和保持了阻抗稳定，提供更稳定的性能及线缆支撑；</w:t>
            </w:r>
          </w:p>
          <w:p>
            <w:pPr>
              <w:widowControl/>
              <w:ind w:right="178" w:rightChars="85"/>
              <w:rPr>
                <w:rFonts w:hint="eastAsia" w:asciiTheme="minorEastAsia" w:hAnsiTheme="minorEastAsia"/>
                <w:color w:val="auto"/>
                <w:szCs w:val="21"/>
              </w:rPr>
            </w:pPr>
            <w:r>
              <w:rPr>
                <w:rFonts w:hint="eastAsia" w:asciiTheme="minorEastAsia" w:hAnsiTheme="minorEastAsia"/>
                <w:color w:val="auto"/>
                <w:szCs w:val="21"/>
              </w:rPr>
              <w:t>4、电气性能：工作电容≤5.6 nF/100米；线对对地电容不平衡≤330 pF/100米；额定传输速率（NVP)：65% ；线对时延差≤45ns/100米；线对直流不平衡电阻≤2%；</w:t>
            </w:r>
          </w:p>
          <w:p>
            <w:pPr>
              <w:widowControl/>
              <w:ind w:right="178" w:rightChars="85"/>
              <w:rPr>
                <w:rFonts w:hint="eastAsia" w:asciiTheme="minorEastAsia" w:hAnsiTheme="minorEastAsia"/>
                <w:color w:val="auto"/>
                <w:szCs w:val="21"/>
              </w:rPr>
            </w:pPr>
            <w:r>
              <w:rPr>
                <w:rFonts w:hint="eastAsia" w:asciiTheme="minorEastAsia" w:hAnsiTheme="minorEastAsia"/>
                <w:color w:val="auto"/>
                <w:szCs w:val="21"/>
              </w:rPr>
              <w:t>5、投标人所投的综合布线系统产品厂商具有中国质量认证中心的ISO9001:2015认证，认证范围涵盖综合布线系列产品，包括六类、光纤、综合布线实训室和网络机柜</w:t>
            </w:r>
            <w:r>
              <w:rPr>
                <w:rFonts w:hint="eastAsia" w:asciiTheme="minorEastAsia" w:hAnsiTheme="minorEastAsia"/>
                <w:color w:val="auto"/>
                <w:szCs w:val="21"/>
                <w:lang w:eastAsia="zh-CN"/>
              </w:rPr>
              <w:t>。（</w:t>
            </w:r>
            <w:r>
              <w:rPr>
                <w:rFonts w:hint="eastAsia" w:asciiTheme="minorEastAsia" w:hAnsiTheme="minorEastAsia"/>
                <w:color w:val="auto"/>
                <w:szCs w:val="21"/>
                <w:lang w:val="en-US" w:eastAsia="zh-CN"/>
              </w:rPr>
              <w:t>提供</w:t>
            </w:r>
            <w:r>
              <w:rPr>
                <w:rFonts w:hint="eastAsia" w:asciiTheme="minorEastAsia" w:hAnsiTheme="minorEastAsia"/>
                <w:color w:val="auto"/>
                <w:szCs w:val="21"/>
              </w:rPr>
              <w:t>有效证书复印件</w:t>
            </w:r>
            <w:r>
              <w:rPr>
                <w:rFonts w:hint="eastAsia" w:asciiTheme="minorEastAsia" w:hAnsiTheme="minorEastAsia"/>
                <w:color w:val="auto"/>
                <w:szCs w:val="21"/>
                <w:lang w:eastAsia="zh-CN"/>
              </w:rPr>
              <w:t>）</w:t>
            </w:r>
          </w:p>
        </w:tc>
        <w:tc>
          <w:tcPr>
            <w:tcW w:w="860"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箱</w:t>
            </w:r>
          </w:p>
        </w:tc>
        <w:tc>
          <w:tcPr>
            <w:tcW w:w="841"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1" w:type="dxa"/>
            <w:shd w:val="clear" w:color="000000" w:fill="FFFFFF"/>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4</w:t>
            </w:r>
          </w:p>
        </w:tc>
        <w:tc>
          <w:tcPr>
            <w:tcW w:w="1162"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六类模块</w:t>
            </w:r>
          </w:p>
        </w:tc>
        <w:tc>
          <w:tcPr>
            <w:tcW w:w="6493" w:type="dxa"/>
            <w:shd w:val="clear" w:color="000000" w:fill="FFFFFF"/>
            <w:vAlign w:val="center"/>
          </w:tcPr>
          <w:p>
            <w:pPr>
              <w:widowControl/>
              <w:ind w:right="178" w:rightChars="85"/>
              <w:rPr>
                <w:rFonts w:hint="eastAsia" w:asciiTheme="minorEastAsia" w:hAnsiTheme="minorEastAsia"/>
                <w:color w:val="auto"/>
                <w:szCs w:val="21"/>
              </w:rPr>
            </w:pPr>
            <w:r>
              <w:rPr>
                <w:rFonts w:hint="eastAsia" w:asciiTheme="minorEastAsia" w:hAnsiTheme="minorEastAsia"/>
                <w:color w:val="auto"/>
                <w:szCs w:val="21"/>
              </w:rPr>
              <w:t>1、性能符合ANSI/TIA-568-C.2-2009和GB/T 50312-2016六类标准；</w:t>
            </w:r>
          </w:p>
          <w:p>
            <w:pPr>
              <w:widowControl/>
              <w:ind w:right="178" w:rightChars="85"/>
              <w:rPr>
                <w:rFonts w:hint="eastAsia" w:asciiTheme="minorEastAsia" w:hAnsiTheme="minorEastAsia"/>
                <w:color w:val="auto"/>
                <w:szCs w:val="21"/>
              </w:rPr>
            </w:pPr>
            <w:r>
              <w:rPr>
                <w:rFonts w:hint="eastAsia" w:asciiTheme="minorEastAsia" w:hAnsiTheme="minorEastAsia"/>
                <w:color w:val="auto"/>
                <w:szCs w:val="21"/>
              </w:rPr>
              <w:t>2、连接金针触点敷有50微英寸的镀金层材料，获得更小的接触电阻、优良的阻抗匹配和优良的回波损耗；</w:t>
            </w:r>
          </w:p>
          <w:p>
            <w:pPr>
              <w:widowControl/>
              <w:ind w:right="178" w:rightChars="85"/>
              <w:rPr>
                <w:rFonts w:hint="eastAsia" w:asciiTheme="minorEastAsia" w:hAnsiTheme="minorEastAsia"/>
                <w:color w:val="auto"/>
                <w:szCs w:val="21"/>
              </w:rPr>
            </w:pPr>
            <w:r>
              <w:rPr>
                <w:rFonts w:hint="eastAsia" w:asciiTheme="minorEastAsia" w:hAnsiTheme="minorEastAsia"/>
                <w:color w:val="auto"/>
                <w:szCs w:val="21"/>
              </w:rPr>
              <w:t>3、物理特性：传输带宽大于250MHz；IDC端子卡接22～26AWG导体；IDC打线柱耐用性大于250次端接；</w:t>
            </w:r>
          </w:p>
          <w:p>
            <w:pPr>
              <w:widowControl/>
              <w:ind w:right="178" w:rightChars="85"/>
              <w:rPr>
                <w:rFonts w:hint="eastAsia" w:asciiTheme="minorEastAsia" w:hAnsiTheme="minorEastAsia"/>
                <w:color w:val="auto"/>
                <w:szCs w:val="21"/>
              </w:rPr>
            </w:pPr>
            <w:r>
              <w:rPr>
                <w:rFonts w:hint="eastAsia" w:asciiTheme="minorEastAsia" w:hAnsiTheme="minorEastAsia"/>
                <w:color w:val="auto"/>
                <w:szCs w:val="21"/>
              </w:rPr>
              <w:t>4、IDC 采用 45 度自锁式结构交叉设计，增大线对间离，保障NEXT和PSNEXT最佳性能，同时确保线缆卡接更快捷、更牢固；</w:t>
            </w:r>
          </w:p>
          <w:p>
            <w:pPr>
              <w:widowControl/>
              <w:ind w:right="178" w:rightChars="85"/>
              <w:rPr>
                <w:rFonts w:hint="eastAsia" w:asciiTheme="minorEastAsia" w:hAnsiTheme="minorEastAsia"/>
                <w:color w:val="auto"/>
                <w:szCs w:val="21"/>
              </w:rPr>
            </w:pPr>
            <w:r>
              <w:rPr>
                <w:rFonts w:hint="eastAsia" w:asciiTheme="minorEastAsia" w:hAnsiTheme="minorEastAsia"/>
                <w:color w:val="auto"/>
                <w:szCs w:val="21"/>
              </w:rPr>
              <w:t>5、模块长度≤30mm；插座类型、色标和编号符合T568A和T568B的规定</w:t>
            </w:r>
            <w:r>
              <w:rPr>
                <w:rFonts w:hint="eastAsia" w:asciiTheme="minorEastAsia" w:hAnsiTheme="minorEastAsia"/>
                <w:color w:val="auto"/>
                <w:szCs w:val="21"/>
                <w:lang w:eastAsia="zh-CN"/>
              </w:rPr>
              <w:t>。（</w:t>
            </w:r>
            <w:r>
              <w:rPr>
                <w:rFonts w:hint="eastAsia" w:asciiTheme="minorEastAsia" w:hAnsiTheme="minorEastAsia"/>
                <w:color w:val="auto"/>
                <w:szCs w:val="21"/>
                <w:lang w:val="en-US" w:eastAsia="zh-CN"/>
              </w:rPr>
              <w:t>提供</w:t>
            </w:r>
            <w:r>
              <w:rPr>
                <w:rFonts w:hint="eastAsia" w:asciiTheme="minorEastAsia" w:hAnsiTheme="minorEastAsia"/>
                <w:color w:val="auto"/>
                <w:szCs w:val="21"/>
              </w:rPr>
              <w:t>有效证书复印件</w:t>
            </w:r>
            <w:r>
              <w:rPr>
                <w:rFonts w:hint="eastAsia" w:asciiTheme="minorEastAsia" w:hAnsiTheme="minorEastAsia"/>
                <w:color w:val="auto"/>
                <w:szCs w:val="21"/>
                <w:lang w:eastAsia="zh-CN"/>
              </w:rPr>
              <w:t>）</w:t>
            </w:r>
          </w:p>
        </w:tc>
        <w:tc>
          <w:tcPr>
            <w:tcW w:w="860"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块</w:t>
            </w:r>
          </w:p>
        </w:tc>
        <w:tc>
          <w:tcPr>
            <w:tcW w:w="841"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1" w:type="dxa"/>
            <w:shd w:val="clear" w:color="000000" w:fill="FFFFFF"/>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5</w:t>
            </w:r>
          </w:p>
        </w:tc>
        <w:tc>
          <w:tcPr>
            <w:tcW w:w="1162"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网络面板</w:t>
            </w:r>
          </w:p>
        </w:tc>
        <w:tc>
          <w:tcPr>
            <w:tcW w:w="6493" w:type="dxa"/>
            <w:shd w:val="clear" w:color="000000" w:fill="FFFFFF"/>
            <w:vAlign w:val="center"/>
          </w:tcPr>
          <w:p>
            <w:pPr>
              <w:rPr>
                <w:rFonts w:cs="Calibri" w:asciiTheme="minorEastAsia" w:hAnsiTheme="minorEastAsia"/>
                <w:color w:val="auto"/>
                <w:szCs w:val="21"/>
              </w:rPr>
            </w:pPr>
            <w:r>
              <w:rPr>
                <w:rFonts w:hint="eastAsia" w:cs="Calibri" w:asciiTheme="minorEastAsia" w:hAnsiTheme="minorEastAsia"/>
                <w:color w:val="auto"/>
                <w:szCs w:val="21"/>
              </w:rPr>
              <w:t>1、可以支持RJ45 Keystone型信息模块，兼容光纤、电视等多媒体信息模块；</w:t>
            </w:r>
          </w:p>
          <w:p>
            <w:pPr>
              <w:rPr>
                <w:rFonts w:cs="Calibri" w:asciiTheme="minorEastAsia" w:hAnsiTheme="minorEastAsia"/>
                <w:color w:val="auto"/>
                <w:szCs w:val="21"/>
              </w:rPr>
            </w:pPr>
            <w:r>
              <w:rPr>
                <w:rFonts w:hint="eastAsia" w:cs="Calibri" w:asciiTheme="minorEastAsia" w:hAnsiTheme="minorEastAsia"/>
                <w:color w:val="auto"/>
                <w:szCs w:val="21"/>
              </w:rPr>
              <w:t>2、产品人性化地设计了弹性防尘门及标识系统，方便用户使用与维护；</w:t>
            </w:r>
          </w:p>
          <w:p>
            <w:pPr>
              <w:rPr>
                <w:rFonts w:cs="Calibri" w:asciiTheme="minorEastAsia" w:hAnsiTheme="minorEastAsia"/>
                <w:color w:val="auto"/>
                <w:szCs w:val="21"/>
              </w:rPr>
            </w:pPr>
            <w:r>
              <w:rPr>
                <w:rFonts w:hint="eastAsia" w:cs="Calibri" w:asciiTheme="minorEastAsia" w:hAnsiTheme="minorEastAsia"/>
                <w:color w:val="auto"/>
                <w:szCs w:val="21"/>
              </w:rPr>
              <w:t>3、储存温度：-40℃～80℃；工作温度：-30℃～70℃；工作湿度：&lt;95%相对湿度；</w:t>
            </w:r>
          </w:p>
          <w:p>
            <w:pPr>
              <w:rPr>
                <w:rFonts w:cs="Calibri" w:asciiTheme="minorEastAsia" w:hAnsiTheme="minorEastAsia"/>
                <w:color w:val="auto"/>
                <w:szCs w:val="21"/>
              </w:rPr>
            </w:pPr>
            <w:r>
              <w:rPr>
                <w:rFonts w:hint="eastAsia" w:cs="Calibri" w:asciiTheme="minorEastAsia" w:hAnsiTheme="minorEastAsia"/>
                <w:color w:val="auto"/>
                <w:szCs w:val="21"/>
              </w:rPr>
              <w:t>4、物理特性：面板与模块的插合次数≥1000次。</w:t>
            </w:r>
          </w:p>
        </w:tc>
        <w:tc>
          <w:tcPr>
            <w:tcW w:w="860"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个</w:t>
            </w:r>
          </w:p>
        </w:tc>
        <w:tc>
          <w:tcPr>
            <w:tcW w:w="841"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1" w:type="dxa"/>
            <w:shd w:val="clear" w:color="000000" w:fill="FFFFFF"/>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6</w:t>
            </w:r>
          </w:p>
        </w:tc>
        <w:tc>
          <w:tcPr>
            <w:tcW w:w="1162"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明盒</w:t>
            </w:r>
          </w:p>
        </w:tc>
        <w:tc>
          <w:tcPr>
            <w:tcW w:w="6493" w:type="dxa"/>
            <w:shd w:val="clear" w:color="000000" w:fill="FFFFFF"/>
            <w:vAlign w:val="center"/>
          </w:tcPr>
          <w:p>
            <w:pPr>
              <w:rPr>
                <w:rFonts w:cs="Calibri" w:asciiTheme="minorEastAsia" w:hAnsiTheme="minorEastAsia"/>
                <w:color w:val="auto"/>
                <w:szCs w:val="21"/>
              </w:rPr>
            </w:pPr>
            <w:r>
              <w:rPr>
                <w:rFonts w:hint="eastAsia" w:cs="Calibri" w:asciiTheme="minorEastAsia" w:hAnsiTheme="minorEastAsia"/>
                <w:color w:val="auto"/>
                <w:szCs w:val="21"/>
              </w:rPr>
              <w:t>国标</w:t>
            </w:r>
          </w:p>
        </w:tc>
        <w:tc>
          <w:tcPr>
            <w:tcW w:w="860"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个</w:t>
            </w:r>
          </w:p>
        </w:tc>
        <w:tc>
          <w:tcPr>
            <w:tcW w:w="841"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1" w:type="dxa"/>
            <w:shd w:val="clear" w:color="000000" w:fill="FFFFFF"/>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7</w:t>
            </w:r>
          </w:p>
        </w:tc>
        <w:tc>
          <w:tcPr>
            <w:tcW w:w="1162"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光纤跳线</w:t>
            </w:r>
          </w:p>
        </w:tc>
        <w:tc>
          <w:tcPr>
            <w:tcW w:w="6493" w:type="dxa"/>
            <w:shd w:val="clear" w:color="000000" w:fill="FFFFFF"/>
            <w:vAlign w:val="center"/>
          </w:tcPr>
          <w:p>
            <w:pPr>
              <w:rPr>
                <w:rFonts w:cs="Calibri" w:asciiTheme="minorEastAsia" w:hAnsiTheme="minorEastAsia"/>
                <w:color w:val="auto"/>
                <w:szCs w:val="21"/>
              </w:rPr>
            </w:pPr>
            <w:r>
              <w:rPr>
                <w:rFonts w:hint="eastAsia" w:cs="Calibri" w:asciiTheme="minorEastAsia" w:hAnsiTheme="minorEastAsia"/>
                <w:color w:val="auto"/>
                <w:szCs w:val="21"/>
              </w:rPr>
              <w:t>1、插入损耗≤0.2db；温度范围-40℃~+85℃；重复性≤0.2db；互换性≤0.2db；回波损耗≥45db；</w:t>
            </w:r>
          </w:p>
          <w:p>
            <w:pPr>
              <w:rPr>
                <w:rFonts w:cs="Calibri" w:asciiTheme="minorEastAsia" w:hAnsiTheme="minorEastAsia"/>
                <w:color w:val="auto"/>
                <w:szCs w:val="21"/>
              </w:rPr>
            </w:pPr>
            <w:r>
              <w:rPr>
                <w:rFonts w:hint="eastAsia" w:cs="Calibri" w:asciiTheme="minorEastAsia" w:hAnsiTheme="minorEastAsia"/>
                <w:color w:val="auto"/>
                <w:szCs w:val="21"/>
              </w:rPr>
              <w:t>2、采用低插入损耗和反射的优质材质，具有很好的光学性能，可以和适配器实现简单安装，增强性和抗拉设计提供有效了较高的机械稳定性。</w:t>
            </w:r>
          </w:p>
        </w:tc>
        <w:tc>
          <w:tcPr>
            <w:tcW w:w="860"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对</w:t>
            </w:r>
          </w:p>
        </w:tc>
        <w:tc>
          <w:tcPr>
            <w:tcW w:w="841"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1" w:type="dxa"/>
            <w:shd w:val="clear" w:color="000000" w:fill="FFFFFF"/>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8</w:t>
            </w:r>
          </w:p>
        </w:tc>
        <w:tc>
          <w:tcPr>
            <w:tcW w:w="1162"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机柜</w:t>
            </w:r>
          </w:p>
        </w:tc>
        <w:tc>
          <w:tcPr>
            <w:tcW w:w="6493" w:type="dxa"/>
            <w:shd w:val="clear" w:color="000000" w:fill="FFFFFF"/>
            <w:vAlign w:val="center"/>
          </w:tcPr>
          <w:p>
            <w:pPr>
              <w:rPr>
                <w:rFonts w:cs="Calibri" w:asciiTheme="minorEastAsia" w:hAnsiTheme="minorEastAsia"/>
                <w:color w:val="auto"/>
                <w:szCs w:val="21"/>
              </w:rPr>
            </w:pPr>
            <w:r>
              <w:rPr>
                <w:rFonts w:hint="eastAsia" w:cs="Calibri" w:asciiTheme="minorEastAsia" w:hAnsiTheme="minorEastAsia"/>
                <w:color w:val="auto"/>
                <w:szCs w:val="21"/>
              </w:rPr>
              <w:t>1、符合GB/T 50312-2016标准，兼容19英寸国标标准、公制标准和ETSI标准；</w:t>
            </w:r>
          </w:p>
          <w:p>
            <w:pPr>
              <w:rPr>
                <w:rFonts w:cs="Calibri" w:asciiTheme="minorEastAsia" w:hAnsiTheme="minorEastAsia"/>
                <w:color w:val="auto"/>
                <w:szCs w:val="21"/>
              </w:rPr>
            </w:pPr>
            <w:r>
              <w:rPr>
                <w:rFonts w:hint="eastAsia" w:cs="Calibri" w:asciiTheme="minorEastAsia" w:hAnsiTheme="minorEastAsia"/>
                <w:color w:val="auto"/>
                <w:szCs w:val="21"/>
              </w:rPr>
              <w:t>2、全部选用优质冷轧钢板制作，脱脂、酸洗、防锈磷化、纯水清洗、静电喷塑，方孔条采用镀蓝白锌；</w:t>
            </w:r>
          </w:p>
          <w:p>
            <w:pPr>
              <w:rPr>
                <w:rFonts w:cs="Calibri" w:asciiTheme="minorEastAsia" w:hAnsiTheme="minorEastAsia"/>
                <w:color w:val="auto"/>
                <w:szCs w:val="21"/>
              </w:rPr>
            </w:pPr>
            <w:r>
              <w:rPr>
                <w:rFonts w:hint="eastAsia" w:cs="Calibri" w:asciiTheme="minorEastAsia" w:hAnsiTheme="minorEastAsia"/>
                <w:color w:val="auto"/>
                <w:szCs w:val="21"/>
              </w:rPr>
              <w:t>3、黑色，前门为钢化玻璃门，后门为全钢门，宽度600mm，深度600mm，高度2000mm；</w:t>
            </w:r>
          </w:p>
          <w:p>
            <w:pPr>
              <w:rPr>
                <w:rFonts w:cs="Calibri" w:asciiTheme="minorEastAsia" w:hAnsiTheme="minorEastAsia"/>
                <w:color w:val="auto"/>
                <w:szCs w:val="21"/>
              </w:rPr>
            </w:pPr>
            <w:r>
              <w:rPr>
                <w:rFonts w:hint="eastAsia" w:cs="Calibri" w:asciiTheme="minorEastAsia" w:hAnsiTheme="minorEastAsia"/>
                <w:color w:val="auto"/>
                <w:szCs w:val="21"/>
              </w:rPr>
              <w:t>4、可关闭的上部、下部多处走线通道，底部大走线孔尺寸可按需调整；</w:t>
            </w:r>
          </w:p>
          <w:p>
            <w:pPr>
              <w:rPr>
                <w:rFonts w:cs="Calibri" w:asciiTheme="minorEastAsia" w:hAnsiTheme="minorEastAsia"/>
                <w:color w:val="auto"/>
                <w:szCs w:val="21"/>
              </w:rPr>
            </w:pPr>
            <w:r>
              <w:rPr>
                <w:rFonts w:hint="eastAsia" w:cs="Calibri" w:asciiTheme="minorEastAsia" w:hAnsiTheme="minorEastAsia"/>
                <w:color w:val="auto"/>
                <w:szCs w:val="21"/>
              </w:rPr>
              <w:t>5、可方便拆卸的左右侧门和前后门，全方位操作，多方位察看，高效坚固的并柜连接方式。</w:t>
            </w:r>
          </w:p>
        </w:tc>
        <w:tc>
          <w:tcPr>
            <w:tcW w:w="860"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台</w:t>
            </w:r>
          </w:p>
        </w:tc>
        <w:tc>
          <w:tcPr>
            <w:tcW w:w="841"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1" w:type="dxa"/>
            <w:shd w:val="clear" w:color="000000" w:fill="FFFFFF"/>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9</w:t>
            </w:r>
          </w:p>
        </w:tc>
        <w:tc>
          <w:tcPr>
            <w:tcW w:w="1162"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桥架</w:t>
            </w:r>
          </w:p>
        </w:tc>
        <w:tc>
          <w:tcPr>
            <w:tcW w:w="6493" w:type="dxa"/>
            <w:shd w:val="clear" w:color="000000" w:fill="FFFFFF"/>
            <w:vAlign w:val="center"/>
          </w:tcPr>
          <w:p>
            <w:pPr>
              <w:rPr>
                <w:rFonts w:cs="宋体" w:asciiTheme="minorEastAsia" w:hAnsiTheme="minorEastAsia"/>
                <w:color w:val="auto"/>
                <w:szCs w:val="21"/>
              </w:rPr>
            </w:pPr>
            <w:r>
              <w:rPr>
                <w:rFonts w:hint="eastAsia" w:asciiTheme="minorEastAsia" w:hAnsiTheme="minorEastAsia"/>
                <w:color w:val="auto"/>
                <w:szCs w:val="21"/>
              </w:rPr>
              <w:t>≥300*100，厚度≥1.2mm，符合CECS31-2006标准；</w:t>
            </w:r>
          </w:p>
        </w:tc>
        <w:tc>
          <w:tcPr>
            <w:tcW w:w="860"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米</w:t>
            </w:r>
          </w:p>
        </w:tc>
        <w:tc>
          <w:tcPr>
            <w:tcW w:w="841"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1" w:type="dxa"/>
            <w:shd w:val="clear" w:color="000000" w:fill="FFFFFF"/>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10</w:t>
            </w:r>
          </w:p>
        </w:tc>
        <w:tc>
          <w:tcPr>
            <w:tcW w:w="1162"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桥架</w:t>
            </w:r>
          </w:p>
        </w:tc>
        <w:tc>
          <w:tcPr>
            <w:tcW w:w="6493" w:type="dxa"/>
            <w:shd w:val="clear" w:color="000000" w:fill="FFFFFF"/>
            <w:vAlign w:val="center"/>
          </w:tcPr>
          <w:p>
            <w:pPr>
              <w:rPr>
                <w:rFonts w:cs="宋体" w:asciiTheme="minorEastAsia" w:hAnsiTheme="minorEastAsia"/>
                <w:color w:val="auto"/>
                <w:szCs w:val="21"/>
              </w:rPr>
            </w:pPr>
            <w:r>
              <w:rPr>
                <w:rFonts w:hint="eastAsia" w:asciiTheme="minorEastAsia" w:hAnsiTheme="minorEastAsia"/>
                <w:color w:val="auto"/>
                <w:szCs w:val="21"/>
              </w:rPr>
              <w:t>≥200*100，厚度≥1.2mm，符合CECS31-2006标准；</w:t>
            </w:r>
          </w:p>
        </w:tc>
        <w:tc>
          <w:tcPr>
            <w:tcW w:w="860"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米</w:t>
            </w:r>
          </w:p>
        </w:tc>
        <w:tc>
          <w:tcPr>
            <w:tcW w:w="841"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1" w:type="dxa"/>
            <w:shd w:val="clear" w:color="000000" w:fill="FFFFFF"/>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11</w:t>
            </w:r>
          </w:p>
        </w:tc>
        <w:tc>
          <w:tcPr>
            <w:tcW w:w="1162"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大楼主光缆</w:t>
            </w:r>
          </w:p>
        </w:tc>
        <w:tc>
          <w:tcPr>
            <w:tcW w:w="6493" w:type="dxa"/>
            <w:shd w:val="clear" w:color="000000" w:fill="FFFFFF"/>
            <w:vAlign w:val="center"/>
          </w:tcPr>
          <w:p>
            <w:pPr>
              <w:rPr>
                <w:rFonts w:cs="宋体" w:asciiTheme="minorEastAsia" w:hAnsiTheme="minorEastAsia"/>
                <w:color w:val="auto"/>
                <w:szCs w:val="21"/>
              </w:rPr>
            </w:pPr>
            <w:r>
              <w:rPr>
                <w:rFonts w:hint="eastAsia" w:asciiTheme="minorEastAsia" w:hAnsiTheme="minorEastAsia"/>
                <w:color w:val="auto"/>
                <w:szCs w:val="21"/>
              </w:rPr>
              <w:t>大楼主光缆24芯室外光缆及相关链路安装（含管道及配套）</w:t>
            </w:r>
          </w:p>
        </w:tc>
        <w:tc>
          <w:tcPr>
            <w:tcW w:w="860"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项</w:t>
            </w:r>
          </w:p>
        </w:tc>
        <w:tc>
          <w:tcPr>
            <w:tcW w:w="841"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1" w:type="dxa"/>
            <w:shd w:val="clear" w:color="000000" w:fill="FFFFFF"/>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12</w:t>
            </w:r>
          </w:p>
        </w:tc>
        <w:tc>
          <w:tcPr>
            <w:tcW w:w="1162"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系统集成</w:t>
            </w:r>
          </w:p>
        </w:tc>
        <w:tc>
          <w:tcPr>
            <w:tcW w:w="6493" w:type="dxa"/>
            <w:shd w:val="clear" w:color="000000" w:fill="FFFFFF"/>
            <w:vAlign w:val="center"/>
          </w:tcPr>
          <w:p>
            <w:pPr>
              <w:rPr>
                <w:rFonts w:cs="宋体" w:asciiTheme="minorEastAsia" w:hAnsiTheme="minorEastAsia"/>
                <w:color w:val="auto"/>
                <w:szCs w:val="21"/>
              </w:rPr>
            </w:pPr>
            <w:r>
              <w:rPr>
                <w:rFonts w:hint="eastAsia" w:asciiTheme="minorEastAsia" w:hAnsiTheme="minorEastAsia"/>
                <w:color w:val="auto"/>
                <w:szCs w:val="21"/>
              </w:rPr>
              <w:t>光纤熔接，设备、桥架及其辅材等安装，信息点的敷设及其配套线管、线槽等辅材，</w:t>
            </w:r>
            <w:r>
              <w:rPr>
                <w:rFonts w:hint="eastAsia" w:asciiTheme="minorEastAsia" w:hAnsiTheme="minorEastAsia"/>
                <w:color w:val="auto"/>
                <w:szCs w:val="21"/>
                <w:lang w:val="en-US" w:eastAsia="zh-CN"/>
              </w:rPr>
              <w:t>交换机用电接入等，</w:t>
            </w:r>
            <w:r>
              <w:rPr>
                <w:rFonts w:hint="eastAsia" w:asciiTheme="minorEastAsia" w:hAnsiTheme="minorEastAsia"/>
                <w:color w:val="auto"/>
                <w:szCs w:val="21"/>
              </w:rPr>
              <w:t>模块安装、线路整理</w:t>
            </w:r>
            <w:r>
              <w:rPr>
                <w:rFonts w:hint="eastAsia" w:asciiTheme="minorEastAsia" w:hAnsiTheme="minorEastAsia"/>
                <w:color w:val="auto"/>
                <w:szCs w:val="21"/>
                <w:lang w:val="en-US" w:eastAsia="zh-CN"/>
              </w:rPr>
              <w:t>及</w:t>
            </w:r>
            <w:r>
              <w:rPr>
                <w:rFonts w:hint="eastAsia" w:asciiTheme="minorEastAsia" w:hAnsiTheme="minorEastAsia"/>
                <w:color w:val="auto"/>
                <w:szCs w:val="21"/>
              </w:rPr>
              <w:t>标签标识等。</w:t>
            </w:r>
          </w:p>
        </w:tc>
        <w:tc>
          <w:tcPr>
            <w:tcW w:w="860"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项</w:t>
            </w:r>
          </w:p>
        </w:tc>
        <w:tc>
          <w:tcPr>
            <w:tcW w:w="841" w:type="dxa"/>
            <w:shd w:val="clear" w:color="000000" w:fill="FFFFFF"/>
            <w:vAlign w:val="center"/>
          </w:tcPr>
          <w:p>
            <w:pPr>
              <w:jc w:val="center"/>
              <w:rPr>
                <w:rFonts w:cs="宋体" w:asciiTheme="minorEastAsia" w:hAnsiTheme="minorEastAsia"/>
                <w:color w:val="auto"/>
                <w:szCs w:val="21"/>
              </w:rPr>
            </w:pPr>
            <w:r>
              <w:rPr>
                <w:rFonts w:hint="eastAsia" w:asciiTheme="minorEastAsia" w:hAnsiTheme="minorEastAsia"/>
                <w:color w:val="auto"/>
                <w:szCs w:val="21"/>
              </w:rPr>
              <w:t>1</w:t>
            </w:r>
          </w:p>
        </w:tc>
      </w:tr>
    </w:tbl>
    <w:p>
      <w:pPr>
        <w:numPr>
          <w:ilvl w:val="0"/>
          <w:numId w:val="0"/>
        </w:numPr>
        <w:spacing w:line="440" w:lineRule="exact"/>
        <w:rPr>
          <w:rFonts w:hint="eastAsia"/>
          <w:color w:val="auto"/>
          <w:sz w:val="24"/>
          <w:lang w:val="en-US" w:eastAsia="zh-CN"/>
        </w:rPr>
      </w:pPr>
    </w:p>
    <w:p>
      <w:pPr>
        <w:pStyle w:val="2"/>
        <w:rPr>
          <w:rFonts w:hint="eastAsia"/>
          <w:color w:val="auto"/>
          <w:lang w:val="en-US" w:eastAsia="zh-CN"/>
        </w:rPr>
      </w:pPr>
    </w:p>
    <w:p>
      <w:pPr>
        <w:pStyle w:val="2"/>
        <w:rPr>
          <w:rFonts w:hint="eastAsia"/>
          <w:color w:val="auto"/>
          <w:lang w:val="en-US" w:eastAsia="zh-CN"/>
        </w:rPr>
      </w:pPr>
    </w:p>
    <w:p>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57451666"/>
      <w:bookmarkStart w:id="55" w:name="_Toc425276504"/>
      <w:bookmarkStart w:id="56" w:name="_Toc478753855"/>
      <w:bookmarkStart w:id="57" w:name="_Toc416379639"/>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pPr>
        <w:spacing w:line="440" w:lineRule="exact"/>
        <w:ind w:firstLine="480" w:firstLineChars="200"/>
        <w:rPr>
          <w:rFonts w:hint="eastAsia" w:hAnsi="宋体" w:eastAsia="宋体"/>
          <w:color w:val="auto"/>
          <w:sz w:val="24"/>
          <w:lang w:val="en-US" w:eastAsia="zh-CN"/>
        </w:rPr>
      </w:pPr>
      <w:bookmarkStart w:id="58" w:name="_Toc430269287"/>
      <w:bookmarkStart w:id="59" w:name="_Toc358109807"/>
      <w:bookmarkStart w:id="60" w:name="_Toc285393068"/>
      <w:bookmarkStart w:id="61" w:name="_Toc394319918"/>
      <w:bookmarkStart w:id="62" w:name="_Toc430269118"/>
      <w:bookmarkStart w:id="63" w:name="_Toc491700052"/>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四、交货地点及时间</w:t>
      </w:r>
    </w:p>
    <w:p>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交付时间：合同签订后 (</w:t>
      </w:r>
      <w:r>
        <w:rPr>
          <w:rFonts w:hint="eastAsia" w:ascii="宋体" w:hAnsi="宋体"/>
          <w:color w:val="auto"/>
          <w:sz w:val="24"/>
          <w:lang w:val="en-US" w:eastAsia="zh-CN"/>
        </w:rPr>
        <w:t>3</w:t>
      </w:r>
      <w:r>
        <w:rPr>
          <w:rFonts w:hint="default" w:ascii="宋体" w:hAnsi="宋体"/>
          <w:color w:val="auto"/>
          <w:sz w:val="24"/>
          <w:lang w:val="en-US" w:eastAsia="zh-CN"/>
        </w:rPr>
        <w:t>0) 天内</w:t>
      </w:r>
      <w:r>
        <w:rPr>
          <w:rFonts w:hint="eastAsia" w:ascii="宋体" w:hAnsi="宋体"/>
          <w:color w:val="auto"/>
          <w:sz w:val="24"/>
          <w:lang w:val="en-US" w:eastAsia="zh-CN"/>
        </w:rPr>
        <w:t>交付使用</w:t>
      </w:r>
      <w:r>
        <w:rPr>
          <w:rFonts w:hint="default" w:ascii="宋体" w:hAnsi="宋体"/>
          <w:color w:val="auto"/>
          <w:sz w:val="24"/>
          <w:lang w:val="en-US" w:eastAsia="zh-CN"/>
        </w:rPr>
        <w:t>。</w:t>
      </w:r>
    </w:p>
    <w:p>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交付地点：福建省泉州市丰泽区泉州师范学院</w:t>
      </w:r>
      <w:r>
        <w:rPr>
          <w:rFonts w:hint="eastAsia" w:ascii="宋体" w:hAnsi="宋体"/>
          <w:color w:val="auto"/>
          <w:sz w:val="24"/>
          <w:lang w:val="en-US" w:eastAsia="zh-CN"/>
        </w:rPr>
        <w:t>主</w:t>
      </w:r>
      <w:r>
        <w:rPr>
          <w:rFonts w:hint="default" w:ascii="宋体" w:hAnsi="宋体"/>
          <w:color w:val="auto"/>
          <w:sz w:val="24"/>
          <w:lang w:val="en-US" w:eastAsia="zh-CN"/>
        </w:rPr>
        <w:t>校区。</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五</w:t>
      </w:r>
      <w:r>
        <w:rPr>
          <w:rFonts w:ascii="宋体" w:hAnsi="宋体"/>
          <w:b/>
          <w:color w:val="auto"/>
          <w:kern w:val="0"/>
          <w:sz w:val="24"/>
        </w:rPr>
        <w:t>、付款方式</w:t>
      </w:r>
    </w:p>
    <w:bookmarkEnd w:id="54"/>
    <w:bookmarkEnd w:id="55"/>
    <w:bookmarkEnd w:id="56"/>
    <w:bookmarkEnd w:id="57"/>
    <w:bookmarkEnd w:id="64"/>
    <w:bookmarkEnd w:id="65"/>
    <w:bookmarkEnd w:id="66"/>
    <w:p>
      <w:pPr>
        <w:spacing w:line="440" w:lineRule="exact"/>
        <w:ind w:firstLine="480" w:firstLineChars="200"/>
        <w:rPr>
          <w:rFonts w:hint="eastAsia" w:ascii="宋体" w:hAnsi="宋体"/>
          <w:b/>
          <w:color w:val="auto"/>
          <w:kern w:val="0"/>
          <w:sz w:val="24"/>
          <w:lang w:val="en-US" w:eastAsia="zh-CN"/>
        </w:rPr>
      </w:pPr>
      <w:r>
        <w:rPr>
          <w:rFonts w:hint="eastAsia" w:hAnsi="宋体" w:eastAsia="宋体"/>
          <w:color w:val="auto"/>
          <w:sz w:val="24"/>
          <w:lang w:val="en-US" w:eastAsia="zh-CN"/>
        </w:rPr>
        <w:t>验收合格并收到乙方发票后付清合同全款。</w:t>
      </w:r>
      <w:r>
        <w:rPr>
          <w:rFonts w:hint="eastAsia" w:hAnsi="宋体"/>
          <w:color w:val="auto"/>
          <w:sz w:val="24"/>
          <w:lang w:val="en-US" w:eastAsia="zh-CN"/>
        </w:rPr>
        <w:t>中标供应商</w:t>
      </w:r>
      <w:r>
        <w:rPr>
          <w:rFonts w:hint="eastAsia" w:hAnsi="宋体" w:eastAsia="宋体"/>
          <w:color w:val="auto"/>
          <w:sz w:val="24"/>
          <w:lang w:val="en-US" w:eastAsia="zh-CN"/>
        </w:rPr>
        <w:t>出具的税务发票（100%全额发票）必须是正式合法且甲方当地税务部门能认可，</w:t>
      </w:r>
      <w:r>
        <w:rPr>
          <w:rFonts w:hint="eastAsia" w:hAnsi="宋体"/>
          <w:color w:val="auto"/>
          <w:sz w:val="24"/>
          <w:lang w:val="en-US" w:eastAsia="zh-CN"/>
        </w:rPr>
        <w:t>中标供应商</w:t>
      </w:r>
      <w:r>
        <w:rPr>
          <w:rFonts w:hint="eastAsia" w:hAnsi="宋体" w:eastAsia="宋体"/>
          <w:color w:val="auto"/>
          <w:sz w:val="24"/>
          <w:lang w:val="en-US" w:eastAsia="zh-CN"/>
        </w:rPr>
        <w:t>应保证</w:t>
      </w:r>
      <w:r>
        <w:rPr>
          <w:rFonts w:hint="eastAsia" w:hAnsi="宋体"/>
          <w:color w:val="auto"/>
          <w:sz w:val="24"/>
          <w:lang w:val="en-US" w:eastAsia="zh-CN"/>
        </w:rPr>
        <w:t>采购人</w:t>
      </w:r>
      <w:r>
        <w:rPr>
          <w:rFonts w:hint="eastAsia" w:hAnsi="宋体" w:eastAsia="宋体"/>
          <w:color w:val="auto"/>
          <w:sz w:val="24"/>
          <w:lang w:val="en-US" w:eastAsia="zh-CN"/>
        </w:rPr>
        <w:t>在使用时不受第三方的指控。</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6"/>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4215"/>
      <w:bookmarkStart w:id="72" w:name="_Toc12112"/>
      <w:bookmarkStart w:id="73" w:name="_Toc1376"/>
      <w:bookmarkStart w:id="74" w:name="_Toc1606"/>
      <w:bookmarkStart w:id="75" w:name="_Toc393727156"/>
      <w:bookmarkStart w:id="76" w:name="_Toc502907889"/>
      <w:bookmarkStart w:id="77" w:name="_Toc432513145"/>
      <w:bookmarkStart w:id="78" w:name="_Toc372013039"/>
      <w:bookmarkStart w:id="79" w:name="_Toc37314130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6"/>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color w:val="auto"/>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13976"/>
      <w:bookmarkStart w:id="82" w:name="_Toc4358"/>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4019"/>
      <w:bookmarkStart w:id="89" w:name="_Toc29026"/>
      <w:bookmarkStart w:id="90" w:name="_Toc24037"/>
      <w:bookmarkStart w:id="91" w:name="_Toc145132116"/>
      <w:bookmarkStart w:id="92" w:name="_Toc432513149"/>
      <w:bookmarkStart w:id="93" w:name="_Toc373141312"/>
      <w:bookmarkStart w:id="94" w:name="_Toc393727163"/>
      <w:bookmarkStart w:id="95" w:name="_Toc372013046"/>
      <w:bookmarkStart w:id="96" w:name="_Toc23010"/>
      <w:bookmarkStart w:id="97" w:name="_Toc502907895"/>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30609"/>
      <w:bookmarkStart w:id="100" w:name="_Toc15327"/>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2"/>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2"/>
        <w:spacing w:line="360" w:lineRule="auto"/>
        <w:ind w:right="560" w:firstLine="560"/>
        <w:jc w:val="center"/>
        <w:outlineLvl w:val="9"/>
        <w:rPr>
          <w:rFonts w:hint="eastAsia" w:ascii="宋体" w:hAnsi="宋体" w:eastAsia="宋体" w:cs="宋体"/>
          <w:color w:val="auto"/>
          <w:sz w:val="24"/>
          <w:szCs w:val="24"/>
          <w:highlight w:val="none"/>
        </w:rPr>
      </w:pPr>
    </w:p>
    <w:p>
      <w:pPr>
        <w:pStyle w:val="22"/>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p>
      <w:pPr>
        <w:pStyle w:val="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0"/>
      </w:rPr>
    </w:pPr>
    <w:r>
      <w:fldChar w:fldCharType="begin"/>
    </w:r>
    <w:r>
      <w:rPr>
        <w:rStyle w:val="20"/>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YTU5ZjFlNzQ4YmNlYWEyMjJjMjMzNzljMTlkMjAifQ=="/>
  </w:docVars>
  <w:rsids>
    <w:rsidRoot w:val="59835B2E"/>
    <w:rsid w:val="003562CD"/>
    <w:rsid w:val="034E4A21"/>
    <w:rsid w:val="0E8D13D6"/>
    <w:rsid w:val="0F44355D"/>
    <w:rsid w:val="0F642B2A"/>
    <w:rsid w:val="115376E2"/>
    <w:rsid w:val="160C28FB"/>
    <w:rsid w:val="16F7028D"/>
    <w:rsid w:val="173A664E"/>
    <w:rsid w:val="179F2857"/>
    <w:rsid w:val="1C4B3D8B"/>
    <w:rsid w:val="1D974856"/>
    <w:rsid w:val="1DD464FF"/>
    <w:rsid w:val="1E8F1E54"/>
    <w:rsid w:val="299802D6"/>
    <w:rsid w:val="29AD768A"/>
    <w:rsid w:val="2CEB06B4"/>
    <w:rsid w:val="30EC4E63"/>
    <w:rsid w:val="32FB2F01"/>
    <w:rsid w:val="33C33694"/>
    <w:rsid w:val="3643461A"/>
    <w:rsid w:val="38641F41"/>
    <w:rsid w:val="3B1925BB"/>
    <w:rsid w:val="3B6C1D7D"/>
    <w:rsid w:val="3E002010"/>
    <w:rsid w:val="3F2E1764"/>
    <w:rsid w:val="40BC477A"/>
    <w:rsid w:val="41F9031D"/>
    <w:rsid w:val="451F1798"/>
    <w:rsid w:val="4C1307C4"/>
    <w:rsid w:val="4C65575F"/>
    <w:rsid w:val="4C9808FB"/>
    <w:rsid w:val="4E487C6D"/>
    <w:rsid w:val="4F0973FC"/>
    <w:rsid w:val="4F123E7A"/>
    <w:rsid w:val="534A7FE3"/>
    <w:rsid w:val="53E17BB5"/>
    <w:rsid w:val="55794C66"/>
    <w:rsid w:val="55CD64D1"/>
    <w:rsid w:val="55D751F9"/>
    <w:rsid w:val="563A556D"/>
    <w:rsid w:val="582A3F3F"/>
    <w:rsid w:val="59835B2E"/>
    <w:rsid w:val="5AE34496"/>
    <w:rsid w:val="5D654BBF"/>
    <w:rsid w:val="607C050A"/>
    <w:rsid w:val="61690586"/>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6"/>
    <w:next w:val="6"/>
    <w:qFormat/>
    <w:uiPriority w:val="0"/>
    <w:rPr>
      <w:rFonts w:ascii="宋体" w:hAnsi="Courier New"/>
      <w:szCs w:val="20"/>
    </w:rPr>
  </w:style>
  <w:style w:type="paragraph" w:styleId="16">
    <w:name w:val="Body Text First Indent"/>
    <w:basedOn w:val="7"/>
    <w:unhideWhenUsed/>
    <w:qFormat/>
    <w:uiPriority w:val="0"/>
    <w:pPr>
      <w:ind w:firstLine="420" w:firstLineChars="100"/>
    </w:p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7469</Words>
  <Characters>8115</Characters>
  <Lines>0</Lines>
  <Paragraphs>0</Paragraphs>
  <TotalTime>26</TotalTime>
  <ScaleCrop>false</ScaleCrop>
  <LinksUpToDate>false</LinksUpToDate>
  <CharactersWithSpaces>9679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smile02u</cp:lastModifiedBy>
  <cp:lastPrinted>2021-11-24T07:21:00Z</cp:lastPrinted>
  <dcterms:modified xsi:type="dcterms:W3CDTF">2022-11-30T03:36:47Z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9C6030A2D736472E9175B56812D82E1C</vt:lpwstr>
  </property>
</Properties>
</file>