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147F">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方正小标宋简体" w:hAnsi="宋体" w:eastAsia="方正小标宋简体" w:cs="Times New Roman"/>
          <w:color w:val="000000" w:themeColor="text1"/>
          <w:spacing w:val="26"/>
          <w:w w:val="50"/>
          <w:kern w:val="0"/>
          <w:sz w:val="144"/>
          <w:szCs w:val="144"/>
          <w:lang w:val="en-US" w:eastAsia="zh-CN" w:bidi="ar-SA"/>
          <w14:textFill>
            <w14:solidFill>
              <w14:schemeClr w14:val="tx1"/>
            </w14:solidFill>
          </w14:textFill>
        </w:rPr>
      </w:pPr>
    </w:p>
    <w:p w14:paraId="4C1BCC94">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方正小标宋简体" w:hAnsi="宋体" w:eastAsia="方正小标宋简体" w:cs="Times New Roman"/>
          <w:color w:val="000000" w:themeColor="text1"/>
          <w:spacing w:val="26"/>
          <w:w w:val="50"/>
          <w:kern w:val="0"/>
          <w:sz w:val="144"/>
          <w:szCs w:val="144"/>
          <w:lang w:val="en-US" w:eastAsia="zh-CN" w:bidi="ar-SA"/>
          <w14:textFill>
            <w14:solidFill>
              <w14:schemeClr w14:val="tx1"/>
            </w14:solidFill>
          </w14:textFill>
        </w:rPr>
      </w:pPr>
    </w:p>
    <w:p w14:paraId="16A8AE18">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方正小标宋简体" w:hAnsi="宋体" w:eastAsia="方正小标宋简体" w:cs="Times New Roman"/>
          <w:color w:val="000000" w:themeColor="text1"/>
          <w:spacing w:val="26"/>
          <w:w w:val="50"/>
          <w:kern w:val="0"/>
          <w:sz w:val="144"/>
          <w:szCs w:val="144"/>
          <w:lang w:val="en-US" w:eastAsia="zh-CN" w:bidi="ar-SA"/>
          <w14:textFill>
            <w14:solidFill>
              <w14:schemeClr w14:val="tx1"/>
            </w14:solidFill>
          </w14:textFill>
        </w:rPr>
      </w:pPr>
    </w:p>
    <w:p w14:paraId="03C845E9">
      <w:pPr>
        <w:ind w:left="-359" w:leftChars="-171" w:right="-496" w:rightChars="-236"/>
        <w:jc w:val="center"/>
        <w:rPr>
          <w:rFonts w:hint="eastAsia" w:ascii="方正小标宋简体" w:hAnsi="宋体" w:eastAsia="方正小标宋简体" w:cs="Times New Roman"/>
          <w:color w:val="FF0000"/>
          <w:spacing w:val="26"/>
          <w:w w:val="50"/>
          <w:kern w:val="0"/>
          <w:sz w:val="144"/>
          <w:szCs w:val="144"/>
        </w:rPr>
      </w:pPr>
      <w:r>
        <w:rPr>
          <w:rFonts w:hint="eastAsia" w:ascii="方正小标宋简体" w:hAnsi="宋体" w:eastAsia="方正小标宋简体" w:cs="Times New Roman"/>
          <w:color w:val="FF0000"/>
          <w:spacing w:val="26"/>
          <w:w w:val="50"/>
          <w:kern w:val="0"/>
          <w:sz w:val="144"/>
          <w:szCs w:val="144"/>
        </w:rPr>
        <w:t>中共泉州师范学院委员会</w:t>
      </w:r>
    </w:p>
    <w:p w14:paraId="5773CE3D">
      <w:pPr>
        <w:widowControl w:val="0"/>
        <w:autoSpaceDE w:val="0"/>
        <w:autoSpaceDN w:val="0"/>
        <w:adjustRightInd w:val="0"/>
        <w:spacing w:line="560" w:lineRule="exact"/>
        <w:ind w:right="-232" w:firstLine="2880" w:firstLineChars="900"/>
        <w:jc w:val="both"/>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仿宋_GB2312" w:hAnsi="Calibri" w:eastAsia="仿宋_GB2312" w:cs="宋体"/>
          <w:color w:val="000000" w:themeColor="text1"/>
          <w:position w:val="-5"/>
          <w:sz w:val="32"/>
          <w:szCs w:val="32"/>
          <w:lang w:val="en-US" w:eastAsia="zh-CN" w:bidi="ar-SA"/>
          <w14:textFill>
            <w14:solidFill>
              <w14:schemeClr w14:val="tx1"/>
            </w14:solidFill>
          </w14:textFill>
        </w:rPr>
        <w:t>泉师委发〔2025〕11号</w:t>
      </w:r>
    </w:p>
    <w:p w14:paraId="5E56105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textAlignment w:val="auto"/>
        <w:outlineLvl w:val="9"/>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drawing>
          <wp:inline distT="0" distB="0" distL="114300" distR="114300">
            <wp:extent cx="5614670" cy="311150"/>
            <wp:effectExtent l="0" t="0" r="5080" b="12700"/>
            <wp:docPr id="2" name="图片 1" descr="中共泉州师范学院委员会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共泉州师范学院委员会文件"/>
                    <pic:cNvPicPr>
                      <a:picLocks noChangeAspect="1"/>
                    </pic:cNvPicPr>
                  </pic:nvPicPr>
                  <pic:blipFill>
                    <a:blip r:embed="rId5"/>
                    <a:stretch>
                      <a:fillRect/>
                    </a:stretch>
                  </pic:blipFill>
                  <pic:spPr>
                    <a:xfrm>
                      <a:off x="0" y="0"/>
                      <a:ext cx="5614670" cy="311150"/>
                    </a:xfrm>
                    <a:prstGeom prst="rect">
                      <a:avLst/>
                    </a:prstGeom>
                    <a:noFill/>
                    <a:ln>
                      <a:noFill/>
                    </a:ln>
                  </pic:spPr>
                </pic:pic>
              </a:graphicData>
            </a:graphic>
          </wp:inline>
        </w:drawing>
      </w:r>
    </w:p>
    <w:p w14:paraId="4D1B1456">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outlineLvl w:val="9"/>
        <w:rPr>
          <w:rFonts w:hint="eastAsia" w:ascii="Times New Roman" w:hAnsi="Times New Roman" w:eastAsia="宋体" w:cs="Times New Roman"/>
          <w:color w:val="000000" w:themeColor="text1"/>
          <w14:textFill>
            <w14:solidFill>
              <w14:schemeClr w14:val="tx1"/>
            </w14:solidFill>
          </w14:textFill>
        </w:rPr>
      </w:pPr>
    </w:p>
    <w:p w14:paraId="139682F9">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2"/>
        <w:rPr>
          <w:rFonts w:ascii="Calibri" w:hAnsi="Calibri" w:eastAsia="宋体" w:cs="Times New Roman"/>
          <w:color w:val="000000" w:themeColor="text1"/>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6"/>
          <w:kern w:val="0"/>
          <w:sz w:val="44"/>
          <w:szCs w:val="44"/>
          <w:lang w:val="en-US" w:eastAsia="zh-CN" w:bidi="ar-SA"/>
          <w14:textFill>
            <w14:solidFill>
              <w14:schemeClr w14:val="tx1"/>
            </w14:solidFill>
          </w14:textFill>
        </w:rPr>
        <w:t>中共泉州师范学院委员会关于印发《进一步推</w:t>
      </w:r>
      <w:r>
        <w:rPr>
          <w:rFonts w:hint="eastAsia" w:ascii="方正小标宋简体" w:hAnsi="方正小标宋简体" w:eastAsia="方正小标宋简体" w:cs="方正小标宋简体"/>
          <w:b w:val="0"/>
          <w:bCs/>
          <w:color w:val="000000" w:themeColor="text1"/>
          <w:kern w:val="0"/>
          <w:sz w:val="44"/>
          <w:szCs w:val="44"/>
          <w:lang w:val="en-US" w:eastAsia="zh-CN" w:bidi="ar-SA"/>
          <w14:textFill>
            <w14:solidFill>
              <w14:schemeClr w14:val="tx1"/>
            </w14:solidFill>
          </w14:textFill>
        </w:rPr>
        <w:t>进新时代人才强校战略的实施意见》的通知</w:t>
      </w:r>
    </w:p>
    <w:p w14:paraId="106569D7">
      <w:pPr>
        <w:keepNext w:val="0"/>
        <w:keepLines w:val="0"/>
        <w:pageBreakBefore w:val="0"/>
        <w:widowControl/>
        <w:kinsoku/>
        <w:wordWrap/>
        <w:overflowPunct/>
        <w:topLinePunct w:val="0"/>
        <w:autoSpaceDE/>
        <w:autoSpaceDN/>
        <w:bidi w:val="0"/>
        <w:adjustRightInd/>
        <w:snapToGrid/>
        <w:spacing w:before="313" w:beforeLines="100" w:line="560" w:lineRule="exact"/>
        <w:textAlignment w:val="baseline"/>
        <w:rPr>
          <w:rFonts w:hint="eastAsia" w:ascii="楷体_GB2312" w:hAnsi="楷体_GB2312" w:eastAsia="楷体_GB2312" w:cs="楷体_GB2312"/>
          <w:color w:val="000000" w:themeColor="text1"/>
          <w:kern w:val="0"/>
          <w:sz w:val="32"/>
          <w:szCs w:val="32"/>
          <w:u w:val="none" w:color="000000"/>
          <w14:textFill>
            <w14:solidFill>
              <w14:schemeClr w14:val="tx1"/>
            </w14:solidFill>
          </w14:textFill>
        </w:rPr>
      </w:pPr>
      <w:r>
        <w:rPr>
          <w:rFonts w:hint="eastAsia" w:ascii="楷体_GB2312" w:hAnsi="楷体_GB2312" w:eastAsia="楷体_GB2312" w:cs="楷体_GB2312"/>
          <w:color w:val="000000" w:themeColor="text1"/>
          <w:kern w:val="0"/>
          <w:sz w:val="32"/>
          <w:szCs w:val="32"/>
          <w:u w:val="none" w:color="000000"/>
          <w14:textFill>
            <w14:solidFill>
              <w14:schemeClr w14:val="tx1"/>
            </w14:solidFill>
          </w14:textFill>
        </w:rPr>
        <w:t>各二级党委（党总支）、各学院</w:t>
      </w:r>
      <w:r>
        <w:rPr>
          <w:rFonts w:hint="eastAsia" w:ascii="楷体_GB2312" w:hAnsi="楷体_GB2312" w:eastAsia="楷体_GB2312" w:cs="楷体_GB2312"/>
          <w:color w:val="000000" w:themeColor="text1"/>
          <w:kern w:val="0"/>
          <w:sz w:val="32"/>
          <w:szCs w:val="32"/>
          <w:u w:val="none" w:color="000000"/>
          <w:lang w:eastAsia="zh-CN"/>
          <w14:textFill>
            <w14:solidFill>
              <w14:schemeClr w14:val="tx1"/>
            </w14:solidFill>
          </w14:textFill>
        </w:rPr>
        <w:t>（系）</w:t>
      </w:r>
      <w:r>
        <w:rPr>
          <w:rFonts w:hint="eastAsia" w:ascii="楷体_GB2312" w:hAnsi="楷体_GB2312" w:eastAsia="楷体_GB2312" w:cs="楷体_GB2312"/>
          <w:color w:val="000000" w:themeColor="text1"/>
          <w:kern w:val="0"/>
          <w:sz w:val="32"/>
          <w:szCs w:val="32"/>
          <w:u w:val="none" w:color="000000"/>
          <w14:textFill>
            <w14:solidFill>
              <w14:schemeClr w14:val="tx1"/>
            </w14:solidFill>
          </w14:textFill>
        </w:rPr>
        <w:t>、机关各部（处、室）、各直属单位：</w:t>
      </w:r>
    </w:p>
    <w:p w14:paraId="3CD01381">
      <w:pPr>
        <w:keepNext w:val="0"/>
        <w:keepLines w:val="0"/>
        <w:pageBreakBefore w:val="0"/>
        <w:widowControl w:val="0"/>
        <w:kinsoku/>
        <w:wordWrap/>
        <w:overflowPunct/>
        <w:topLinePunct w:val="0"/>
        <w:autoSpaceDE w:val="0"/>
        <w:autoSpaceDN w:val="0"/>
        <w:bidi w:val="0"/>
        <w:adjustRightInd w:val="0"/>
        <w:snapToGrid/>
        <w:spacing w:after="157" w:afterLines="50" w:line="560" w:lineRule="exact"/>
        <w:ind w:firstLine="601"/>
        <w:jc w:val="both"/>
        <w:textAlignment w:val="auto"/>
        <w:rPr>
          <w:rFonts w:hint="eastAsia"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t>《中共泉州师范学院委员会关于进一步推进新时代人才强校战略的实施意见》于2025年12月30日经校党委三届五次全体会议表决通过，现印发给你们，请认真遵照执行。</w:t>
      </w:r>
    </w:p>
    <w:p w14:paraId="3C4CDB7D">
      <w:pPr>
        <w:keepNext w:val="0"/>
        <w:keepLines w:val="0"/>
        <w:pageBreakBefore w:val="0"/>
        <w:widowControl w:val="0"/>
        <w:kinsoku/>
        <w:wordWrap/>
        <w:overflowPunct/>
        <w:topLinePunct w:val="0"/>
        <w:autoSpaceDE w:val="0"/>
        <w:autoSpaceDN w:val="0"/>
        <w:bidi w:val="0"/>
        <w:adjustRightInd w:val="0"/>
        <w:snapToGrid/>
        <w:spacing w:after="157" w:afterLines="50" w:line="560" w:lineRule="exact"/>
        <w:jc w:val="both"/>
        <w:textAlignment w:val="auto"/>
        <w:rPr>
          <w:rFonts w:hint="eastAsia"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pPr>
    </w:p>
    <w:p w14:paraId="7B770679">
      <w:pPr>
        <w:keepNext w:val="0"/>
        <w:keepLines w:val="0"/>
        <w:pageBreakBefore w:val="0"/>
        <w:widowControl w:val="0"/>
        <w:kinsoku/>
        <w:wordWrap/>
        <w:overflowPunct/>
        <w:topLinePunct w:val="0"/>
        <w:autoSpaceDE w:val="0"/>
        <w:autoSpaceDN w:val="0"/>
        <w:bidi w:val="0"/>
        <w:adjustRightInd w:val="0"/>
        <w:snapToGrid/>
        <w:spacing w:after="0" w:afterLines="0" w:line="560" w:lineRule="exact"/>
        <w:ind w:firstLine="600"/>
        <w:jc w:val="both"/>
        <w:rPr>
          <w:rFonts w:hint="default"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pPr>
      <w:r>
        <w:rPr>
          <w:rFonts w:hint="default" w:ascii="仿宋_GB2312" w:hAnsi="Calibri" w:eastAsia="仿宋_GB2312" w:cs="Times New Roman"/>
          <w:color w:val="000000" w:themeColor="text1"/>
          <w:kern w:val="0"/>
          <w:sz w:val="32"/>
          <w:szCs w:val="32"/>
          <w:u w:val="none" w:color="000000"/>
          <w:lang w:val="en-US" w:eastAsia="zh-CN" w:bidi="ar-SA"/>
          <w14:textFill>
            <w14:solidFill>
              <w14:schemeClr w14:val="tx1"/>
            </w14:solidFill>
          </w14:textFill>
        </w:rPr>
        <w:t xml:space="preserve">  </w:t>
      </w:r>
      <w:r>
        <w:rPr>
          <w:rFonts w:hint="eastAsia" w:ascii="仿宋_GB2312" w:hAnsi="Calibri" w:eastAsia="仿宋_GB2312" w:cs="Times New Roman"/>
          <w:color w:val="000000" w:themeColor="text1"/>
          <w:kern w:val="0"/>
          <w:sz w:val="32"/>
          <w:szCs w:val="32"/>
          <w:u w:val="none" w:color="000000"/>
          <w:lang w:val="en-US" w:eastAsia="zh-CN" w:bidi="ar-SA"/>
          <w14:textFill>
            <w14:solidFill>
              <w14:schemeClr w14:val="tx1"/>
            </w14:solidFill>
          </w14:textFill>
        </w:rPr>
        <w:t xml:space="preserve">        </w:t>
      </w:r>
      <w:r>
        <w:rPr>
          <w:rFonts w:hint="eastAsia"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t xml:space="preserve">               中共泉州师范学院委员会           </w:t>
      </w:r>
    </w:p>
    <w:p w14:paraId="247E59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u w:val="none" w:color="000000"/>
          <w:lang w:val="en-US" w:eastAsia="zh-CN" w:bidi="ar-SA"/>
          <w14:textFill>
            <w14:solidFill>
              <w14:schemeClr w14:val="tx1"/>
            </w14:solidFill>
          </w14:textFill>
        </w:rPr>
        <w:t xml:space="preserve">                         2025年12月30日</w:t>
      </w:r>
    </w:p>
    <w:p w14:paraId="6FE64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中共泉州师范学院委员会关于进一步推进</w:t>
      </w:r>
    </w:p>
    <w:p w14:paraId="7178F3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新时代人才强校战略的实施意见</w:t>
      </w:r>
    </w:p>
    <w:p w14:paraId="793DA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p>
    <w:p w14:paraId="42E191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为贯彻落实党的二十届四中全会和省委十一届九次全会精神，深入贯彻中央、省委人才工作会议精神和全国、全省教育大会精神，认真落实中共中央、国务院印发的《关于全面深化新时代教师队伍建设改革的意见》《深化新时代教育评价改革总体方案》《弘扬教育家精神加强新时代高素质专业化教师队伍建设的意见》以及教育部等六部门印发的《关于加强新时代高校教师队伍建设改革的指导意见》《关于加强新时代高校青年教师队伍建设的指导意见》，进一步推进新时代人才强校战略，结合学校实际，现提出如下实施意见。</w:t>
      </w:r>
    </w:p>
    <w:p w14:paraId="5E04C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sz w:val="32"/>
          <w:szCs w:val="32"/>
          <w:u w:val="none"/>
        </w:rPr>
      </w:pPr>
      <w:r>
        <w:rPr>
          <w:rFonts w:hint="eastAsia" w:ascii="黑体" w:hAnsi="黑体" w:eastAsia="黑体" w:cs="黑体"/>
          <w:b w:val="0"/>
          <w:bCs w:val="0"/>
          <w:color w:val="000000"/>
          <w:sz w:val="32"/>
          <w:szCs w:val="32"/>
          <w:u w:val="none"/>
          <w:lang w:eastAsia="zh-CN"/>
        </w:rPr>
        <w:t>一、</w:t>
      </w:r>
      <w:r>
        <w:rPr>
          <w:rFonts w:hint="eastAsia" w:ascii="黑体" w:hAnsi="黑体" w:eastAsia="黑体" w:cs="黑体"/>
          <w:b w:val="0"/>
          <w:bCs w:val="0"/>
          <w:color w:val="000000"/>
          <w:sz w:val="32"/>
          <w:szCs w:val="32"/>
          <w:u w:val="none"/>
          <w:lang w:val="en-US" w:eastAsia="zh-CN"/>
        </w:rPr>
        <w:t>推进</w:t>
      </w:r>
      <w:r>
        <w:rPr>
          <w:rFonts w:hint="eastAsia" w:ascii="黑体" w:hAnsi="黑体" w:eastAsia="黑体" w:cs="黑体"/>
          <w:b w:val="0"/>
          <w:bCs w:val="0"/>
          <w:color w:val="000000"/>
          <w:sz w:val="32"/>
          <w:szCs w:val="32"/>
          <w:u w:val="none"/>
        </w:rPr>
        <w:t>人才强校</w:t>
      </w:r>
      <w:r>
        <w:rPr>
          <w:rFonts w:hint="eastAsia" w:ascii="黑体" w:hAnsi="黑体" w:eastAsia="黑体" w:cs="黑体"/>
          <w:b w:val="0"/>
          <w:bCs w:val="0"/>
          <w:color w:val="000000"/>
          <w:sz w:val="32"/>
          <w:szCs w:val="32"/>
          <w:u w:val="none"/>
          <w:lang w:eastAsia="zh-CN"/>
        </w:rPr>
        <w:t>战略</w:t>
      </w:r>
      <w:r>
        <w:rPr>
          <w:rFonts w:hint="eastAsia" w:ascii="黑体" w:hAnsi="黑体" w:eastAsia="黑体" w:cs="黑体"/>
          <w:b w:val="0"/>
          <w:bCs w:val="0"/>
          <w:color w:val="000000"/>
          <w:sz w:val="32"/>
          <w:szCs w:val="32"/>
          <w:u w:val="none"/>
        </w:rPr>
        <w:t>，</w:t>
      </w:r>
      <w:r>
        <w:rPr>
          <w:rFonts w:hint="eastAsia" w:ascii="黑体" w:hAnsi="黑体" w:eastAsia="黑体" w:cs="黑体"/>
          <w:b w:val="0"/>
          <w:bCs w:val="0"/>
          <w:color w:val="000000"/>
          <w:sz w:val="32"/>
          <w:szCs w:val="32"/>
          <w:u w:val="none"/>
          <w:lang w:eastAsia="zh-CN"/>
        </w:rPr>
        <w:t>筑牢</w:t>
      </w:r>
      <w:r>
        <w:rPr>
          <w:rFonts w:hint="eastAsia" w:ascii="黑体" w:hAnsi="黑体" w:eastAsia="黑体" w:cs="黑体"/>
          <w:b w:val="0"/>
          <w:bCs w:val="0"/>
          <w:color w:val="000000"/>
          <w:sz w:val="32"/>
          <w:szCs w:val="32"/>
          <w:u w:val="none"/>
        </w:rPr>
        <w:t>立德树人</w:t>
      </w:r>
      <w:r>
        <w:rPr>
          <w:rFonts w:hint="eastAsia" w:ascii="黑体" w:hAnsi="黑体" w:eastAsia="黑体" w:cs="黑体"/>
          <w:b w:val="0"/>
          <w:bCs w:val="0"/>
          <w:color w:val="000000"/>
          <w:sz w:val="32"/>
          <w:szCs w:val="32"/>
          <w:u w:val="none"/>
          <w:lang w:eastAsia="zh-CN"/>
        </w:rPr>
        <w:t>根本任务</w:t>
      </w:r>
      <w:r>
        <w:rPr>
          <w:rFonts w:hint="eastAsia" w:ascii="黑体" w:hAnsi="黑体" w:eastAsia="黑体" w:cs="黑体"/>
          <w:b w:val="0"/>
          <w:bCs w:val="0"/>
          <w:color w:val="000000"/>
          <w:sz w:val="32"/>
          <w:szCs w:val="32"/>
          <w:u w:val="none"/>
        </w:rPr>
        <w:t xml:space="preserve"> </w:t>
      </w:r>
    </w:p>
    <w:p w14:paraId="77EFD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u w:val="none"/>
        </w:rPr>
      </w:pPr>
      <w:r>
        <w:rPr>
          <w:rFonts w:hint="eastAsia" w:ascii="楷体" w:hAnsi="楷体" w:eastAsia="楷体" w:cs="楷体"/>
          <w:b/>
          <w:bCs/>
          <w:color w:val="000000"/>
          <w:sz w:val="32"/>
          <w:szCs w:val="32"/>
          <w:u w:val="none"/>
          <w:lang w:val="en-US" w:eastAsia="zh-CN"/>
        </w:rPr>
        <w:t>1.明确指导思想。</w:t>
      </w:r>
      <w:r>
        <w:rPr>
          <w:rFonts w:hint="eastAsia" w:ascii="仿宋_GB2312" w:hAnsi="仿宋_GB2312" w:eastAsia="仿宋_GB2312" w:cs="仿宋_GB2312"/>
          <w:color w:val="000000"/>
          <w:sz w:val="32"/>
          <w:szCs w:val="32"/>
          <w:u w:val="none"/>
        </w:rPr>
        <w:t>以习近平新时代中国特色社会主义思想为指导，深入学习贯彻习近平总书记关于人才工作</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关于教育</w:t>
      </w:r>
      <w:r>
        <w:rPr>
          <w:rFonts w:hint="eastAsia" w:ascii="仿宋_GB2312" w:hAnsi="仿宋_GB2312" w:eastAsia="仿宋_GB2312" w:cs="仿宋_GB2312"/>
          <w:color w:val="000000"/>
          <w:sz w:val="32"/>
          <w:szCs w:val="32"/>
          <w:u w:val="none"/>
        </w:rPr>
        <w:t>的重要论述，</w:t>
      </w:r>
      <w:r>
        <w:rPr>
          <w:rFonts w:hint="eastAsia" w:ascii="仿宋_GB2312" w:hAnsi="仿宋_GB2312" w:eastAsia="仿宋_GB2312" w:cs="仿宋_GB2312"/>
          <w:color w:val="000000"/>
          <w:sz w:val="32"/>
          <w:szCs w:val="32"/>
          <w:u w:val="none"/>
          <w:lang w:val="en-US" w:eastAsia="zh-CN"/>
        </w:rPr>
        <w:t>围绕校党委提出的“定目标、建机制、聚人心”三大任务和“2810”发展战略，</w:t>
      </w:r>
      <w:r>
        <w:rPr>
          <w:rFonts w:hint="eastAsia" w:ascii="仿宋_GB2312" w:hAnsi="仿宋_GB2312" w:eastAsia="仿宋_GB2312" w:cs="仿宋_GB2312"/>
          <w:color w:val="000000"/>
          <w:sz w:val="32"/>
          <w:szCs w:val="32"/>
          <w:u w:val="none"/>
        </w:rPr>
        <w:t>落实立德树人根本任务，</w:t>
      </w:r>
      <w:r>
        <w:rPr>
          <w:rFonts w:hint="eastAsia" w:ascii="仿宋_GB2312" w:hAnsi="仿宋_GB2312" w:eastAsia="仿宋_GB2312" w:cs="仿宋_GB2312"/>
          <w:color w:val="000000"/>
          <w:sz w:val="32"/>
          <w:szCs w:val="32"/>
          <w:u w:val="none"/>
          <w:lang w:val="en-US" w:eastAsia="zh-CN"/>
        </w:rPr>
        <w:t>强化教育家精神、科学家精神引领，</w:t>
      </w:r>
      <w:r>
        <w:rPr>
          <w:rFonts w:hint="eastAsia" w:ascii="仿宋_GB2312" w:hAnsi="仿宋_GB2312" w:eastAsia="仿宋_GB2312" w:cs="仿宋_GB2312"/>
          <w:sz w:val="32"/>
          <w:szCs w:val="32"/>
          <w:u w:val="none"/>
        </w:rPr>
        <w:t>以服务国家重大战略和区域经济社会发展为导向，</w:t>
      </w:r>
      <w:r>
        <w:rPr>
          <w:rFonts w:hint="eastAsia" w:ascii="仿宋_GB2312" w:hAnsi="仿宋_GB2312" w:eastAsia="仿宋_GB2312" w:cs="仿宋_GB2312"/>
          <w:color w:val="000000"/>
          <w:sz w:val="32"/>
          <w:szCs w:val="32"/>
          <w:u w:val="none"/>
          <w:lang w:val="en-US" w:eastAsia="zh-CN"/>
        </w:rPr>
        <w:t>以一体推进教育科技人才发展为抓手，以人才发展体制机制改革为动力，统筹推进新时代人才队伍内涵发展、特色发展和创新发展，构筑“引育并举、分类发展、高端引领、整体开发”的人才发展制度体系，形成全方位培养、引进、用好人才的“泉师方案”，逐步建成在全省具有较强影响力的人才聚集高地和创新高地，为建设特色鲜明的一流应用研究型大学提供坚实的人才支撑</w:t>
      </w:r>
      <w:r>
        <w:rPr>
          <w:rFonts w:hint="eastAsia" w:ascii="仿宋_GB2312" w:hAnsi="仿宋_GB2312" w:eastAsia="仿宋_GB2312" w:cs="仿宋_GB2312"/>
          <w:color w:val="000000"/>
          <w:sz w:val="32"/>
          <w:szCs w:val="32"/>
          <w:u w:val="none"/>
        </w:rPr>
        <w:t xml:space="preserve">。 </w:t>
      </w:r>
    </w:p>
    <w:p w14:paraId="55CA40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2.遵循基本原则。</w:t>
      </w:r>
      <w:r>
        <w:rPr>
          <w:rFonts w:hint="eastAsia" w:ascii="仿宋_GB2312" w:hAnsi="仿宋_GB2312" w:eastAsia="仿宋_GB2312" w:cs="仿宋_GB2312"/>
          <w:color w:val="000000"/>
          <w:sz w:val="32"/>
          <w:szCs w:val="32"/>
          <w:u w:val="none"/>
          <w:lang w:val="en-US" w:eastAsia="zh-CN"/>
        </w:rPr>
        <w:t>坚持党的领导，牢固树立人才第一资源的理念，健全党管人才工作机制，充分发挥党</w:t>
      </w:r>
      <w:r>
        <w:rPr>
          <w:rFonts w:hint="eastAsia" w:ascii="仿宋_GB2312" w:hAnsi="仿宋_GB2312" w:eastAsia="仿宋_GB2312" w:cs="仿宋_GB2312"/>
          <w:sz w:val="32"/>
          <w:szCs w:val="32"/>
          <w:u w:val="none"/>
        </w:rPr>
        <w:t>委在规划人才发展战略、制定并落实人才发展重大政策、协调各方力量形成人才工作合力等方面的领导核心</w:t>
      </w:r>
      <w:r>
        <w:rPr>
          <w:rFonts w:hint="eastAsia" w:ascii="仿宋_GB2312" w:hAnsi="仿宋_GB2312" w:eastAsia="仿宋_GB2312" w:cs="仿宋_GB2312"/>
          <w:color w:val="000000"/>
          <w:sz w:val="32"/>
          <w:szCs w:val="32"/>
          <w:u w:val="none"/>
          <w:lang w:val="en-US" w:eastAsia="zh-CN"/>
        </w:rPr>
        <w:t>作用。坚持学科引领，围绕学科特色和重点发展方向引育人才，完善学科统领人才队伍建设的分类分级体系，形成金字塔式学科生态体系和人才队伍结构。坚持改革创新，围绕人才引进、培育、使用、评价等关键环节，全力破除人才工作“中梗阻”的制度藩篱，全面激发人才创新创造活力。坚持优化服务，打通人才政策落实“最后一公里”，打造与一流应用研究型大学相适应的人才发展环境和人才成长生态，让人才“引得进、用得上、留得住、发展好”。</w:t>
      </w:r>
    </w:p>
    <w:p w14:paraId="1A27E7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3.锚定目标任务。</w:t>
      </w:r>
      <w:r>
        <w:rPr>
          <w:rFonts w:hint="eastAsia" w:ascii="仿宋_GB2312" w:hAnsi="仿宋_GB2312" w:eastAsia="仿宋_GB2312" w:cs="仿宋_GB2312"/>
          <w:color w:val="000000"/>
          <w:sz w:val="32"/>
          <w:szCs w:val="32"/>
          <w:u w:val="none"/>
          <w:lang w:val="en-US" w:eastAsia="zh-CN"/>
        </w:rPr>
        <w:t>到2028年，人才队伍建设取得重要阶段性成效，人才队伍规模、结构、质量满足更名大学要求，新增硕士专业学位授权点均建有高水平学科团队，在重点学科领域涌现若干有影响力的学科带头人；</w:t>
      </w:r>
      <w:r>
        <w:rPr>
          <w:rFonts w:hint="default" w:ascii="仿宋_GB2312" w:hAnsi="仿宋_GB2312" w:eastAsia="仿宋_GB2312" w:cs="仿宋_GB2312"/>
          <w:color w:val="000000"/>
          <w:sz w:val="32"/>
          <w:szCs w:val="32"/>
          <w:u w:val="none"/>
          <w:lang w:val="en-US" w:eastAsia="zh-CN"/>
        </w:rPr>
        <w:t>到2030年</w:t>
      </w:r>
      <w:r>
        <w:rPr>
          <w:rFonts w:hint="eastAsia" w:ascii="仿宋_GB2312" w:hAnsi="仿宋_GB2312" w:eastAsia="仿宋_GB2312" w:cs="仿宋_GB2312"/>
          <w:color w:val="000000"/>
          <w:sz w:val="32"/>
          <w:szCs w:val="32"/>
          <w:u w:val="none"/>
          <w:lang w:val="en-US" w:eastAsia="zh-CN"/>
        </w:rPr>
        <w:t>，</w:t>
      </w:r>
      <w:r>
        <w:rPr>
          <w:rFonts w:hint="default" w:ascii="仿宋_GB2312" w:hAnsi="仿宋_GB2312" w:eastAsia="仿宋_GB2312" w:cs="仿宋_GB2312"/>
          <w:color w:val="000000"/>
          <w:sz w:val="32"/>
          <w:szCs w:val="32"/>
          <w:u w:val="none"/>
          <w:lang w:val="en-US" w:eastAsia="zh-CN"/>
        </w:rPr>
        <w:t>汇聚一批</w:t>
      </w:r>
      <w:r>
        <w:rPr>
          <w:rFonts w:hint="eastAsia" w:ascii="仿宋_GB2312" w:hAnsi="仿宋_GB2312" w:eastAsia="仿宋_GB2312" w:cs="仿宋_GB2312"/>
          <w:color w:val="000000"/>
          <w:sz w:val="32"/>
          <w:szCs w:val="32"/>
          <w:u w:val="none"/>
          <w:lang w:val="en-US" w:eastAsia="zh-CN"/>
        </w:rPr>
        <w:t>有影响力的领军</w:t>
      </w:r>
      <w:r>
        <w:rPr>
          <w:rFonts w:hint="default" w:ascii="仿宋_GB2312" w:hAnsi="仿宋_GB2312" w:eastAsia="仿宋_GB2312" w:cs="仿宋_GB2312"/>
          <w:color w:val="000000"/>
          <w:sz w:val="32"/>
          <w:szCs w:val="32"/>
          <w:u w:val="none"/>
          <w:lang w:val="en-US" w:eastAsia="zh-CN"/>
        </w:rPr>
        <w:t>人才</w:t>
      </w:r>
      <w:r>
        <w:rPr>
          <w:rFonts w:hint="eastAsia" w:ascii="仿宋_GB2312" w:hAnsi="仿宋_GB2312" w:eastAsia="仿宋_GB2312" w:cs="仿宋_GB2312"/>
          <w:color w:val="000000"/>
          <w:sz w:val="32"/>
          <w:szCs w:val="32"/>
          <w:u w:val="none"/>
          <w:lang w:val="en-US" w:eastAsia="zh-CN"/>
        </w:rPr>
        <w:t>、学术带头人、青年骨干后备人才，锻造一批科技创新与产业创新深度融合的</w:t>
      </w:r>
      <w:r>
        <w:rPr>
          <w:rFonts w:hint="default" w:ascii="仿宋_GB2312" w:hAnsi="仿宋_GB2312" w:eastAsia="仿宋_GB2312" w:cs="仿宋_GB2312"/>
          <w:color w:val="000000"/>
          <w:sz w:val="32"/>
          <w:szCs w:val="32"/>
          <w:u w:val="none"/>
          <w:lang w:val="en-US" w:eastAsia="zh-CN"/>
        </w:rPr>
        <w:t>创新团队，</w:t>
      </w:r>
      <w:r>
        <w:rPr>
          <w:rFonts w:hint="eastAsia" w:ascii="仿宋_GB2312" w:hAnsi="仿宋_GB2312" w:eastAsia="仿宋_GB2312" w:cs="仿宋_GB2312"/>
          <w:color w:val="000000"/>
          <w:sz w:val="32"/>
          <w:szCs w:val="32"/>
          <w:u w:val="none"/>
          <w:lang w:val="en-US" w:eastAsia="zh-CN"/>
        </w:rPr>
        <w:t>形成国家、省、市三级梯次递进的人才雁阵格局，力争国家级、省级人才总量均翻一番，省级人才达150人、国家级人才达10人</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到2035年，基本建成</w:t>
      </w:r>
      <w:r>
        <w:rPr>
          <w:rFonts w:hint="default" w:ascii="仿宋_GB2312" w:hAnsi="仿宋_GB2312" w:eastAsia="仿宋_GB2312" w:cs="仿宋_GB2312"/>
          <w:color w:val="000000"/>
          <w:sz w:val="32"/>
          <w:szCs w:val="32"/>
          <w:u w:val="none"/>
          <w:lang w:val="en-US" w:eastAsia="zh-CN"/>
        </w:rPr>
        <w:t>数量充足、结构合理</w:t>
      </w:r>
      <w:r>
        <w:rPr>
          <w:rFonts w:hint="eastAsia" w:ascii="仿宋_GB2312" w:hAnsi="仿宋_GB2312" w:eastAsia="仿宋_GB2312" w:cs="仿宋_GB2312"/>
          <w:color w:val="000000"/>
          <w:sz w:val="32"/>
          <w:szCs w:val="32"/>
          <w:u w:val="none"/>
          <w:lang w:val="en-US" w:eastAsia="zh-CN"/>
        </w:rPr>
        <w:t>、</w:t>
      </w:r>
      <w:r>
        <w:rPr>
          <w:rFonts w:hint="default" w:ascii="仿宋_GB2312" w:hAnsi="仿宋_GB2312" w:eastAsia="仿宋_GB2312" w:cs="仿宋_GB2312"/>
          <w:color w:val="000000"/>
          <w:sz w:val="32"/>
          <w:szCs w:val="32"/>
          <w:u w:val="none"/>
          <w:lang w:val="en-US" w:eastAsia="zh-CN"/>
        </w:rPr>
        <w:t>素质</w:t>
      </w:r>
      <w:r>
        <w:rPr>
          <w:rFonts w:hint="eastAsia" w:ascii="仿宋_GB2312" w:hAnsi="仿宋_GB2312" w:eastAsia="仿宋_GB2312" w:cs="仿宋_GB2312"/>
          <w:color w:val="000000"/>
          <w:sz w:val="32"/>
          <w:szCs w:val="32"/>
          <w:u w:val="none"/>
          <w:lang w:val="en-US" w:eastAsia="zh-CN"/>
        </w:rPr>
        <w:t>精良、</w:t>
      </w:r>
      <w:r>
        <w:rPr>
          <w:rFonts w:hint="default" w:ascii="仿宋_GB2312" w:hAnsi="仿宋_GB2312" w:eastAsia="仿宋_GB2312" w:cs="仿宋_GB2312"/>
          <w:color w:val="000000"/>
          <w:sz w:val="32"/>
          <w:szCs w:val="32"/>
          <w:u w:val="none"/>
          <w:lang w:val="en-US" w:eastAsia="zh-CN"/>
        </w:rPr>
        <w:t>与</w:t>
      </w:r>
      <w:r>
        <w:rPr>
          <w:rFonts w:hint="eastAsia" w:ascii="仿宋_GB2312" w:hAnsi="仿宋_GB2312" w:eastAsia="仿宋_GB2312" w:cs="仿宋_GB2312"/>
          <w:color w:val="000000"/>
          <w:sz w:val="32"/>
          <w:szCs w:val="32"/>
          <w:u w:val="none"/>
          <w:lang w:val="en-US" w:eastAsia="zh-CN"/>
        </w:rPr>
        <w:t>特色鲜明的一流应</w:t>
      </w:r>
      <w:r>
        <w:rPr>
          <w:rFonts w:hint="eastAsia" w:ascii="仿宋_GB2312" w:hAnsi="仿宋_GB2312" w:eastAsia="仿宋_GB2312" w:cs="仿宋_GB2312"/>
          <w:color w:val="auto"/>
          <w:sz w:val="32"/>
          <w:szCs w:val="32"/>
          <w:u w:val="none"/>
          <w:lang w:val="en-US" w:eastAsia="zh-CN"/>
        </w:rPr>
        <w:t>用研究型大学</w:t>
      </w:r>
      <w:r>
        <w:rPr>
          <w:rFonts w:hint="default" w:ascii="仿宋_GB2312" w:hAnsi="仿宋_GB2312" w:eastAsia="仿宋_GB2312" w:cs="仿宋_GB2312"/>
          <w:color w:val="auto"/>
          <w:sz w:val="32"/>
          <w:szCs w:val="32"/>
          <w:u w:val="none"/>
          <w:lang w:val="en-US" w:eastAsia="zh-CN"/>
        </w:rPr>
        <w:t>相匹配的人才队伍</w:t>
      </w:r>
      <w:r>
        <w:rPr>
          <w:rFonts w:hint="eastAsia" w:ascii="仿宋_GB2312" w:hAnsi="仿宋_GB2312" w:eastAsia="仿宋_GB2312" w:cs="仿宋_GB2312"/>
          <w:color w:val="auto"/>
          <w:sz w:val="32"/>
          <w:szCs w:val="32"/>
          <w:u w:val="none"/>
          <w:lang w:val="en-US" w:eastAsia="zh-CN"/>
        </w:rPr>
        <w:t>，高水平</w:t>
      </w:r>
      <w:r>
        <w:rPr>
          <w:rFonts w:hint="default" w:ascii="仿宋_GB2312" w:hAnsi="仿宋_GB2312" w:eastAsia="仿宋_GB2312" w:cs="仿宋_GB2312"/>
          <w:color w:val="auto"/>
          <w:sz w:val="32"/>
          <w:szCs w:val="32"/>
          <w:u w:val="none"/>
          <w:lang w:val="en-US" w:eastAsia="zh-CN"/>
        </w:rPr>
        <w:t>创新成果不断涌现，</w:t>
      </w:r>
      <w:r>
        <w:rPr>
          <w:rFonts w:hint="eastAsia" w:ascii="仿宋_GB2312" w:hAnsi="仿宋_GB2312" w:eastAsia="仿宋_GB2312" w:cs="仿宋_GB2312"/>
          <w:color w:val="auto"/>
          <w:sz w:val="32"/>
          <w:szCs w:val="32"/>
          <w:u w:val="none"/>
          <w:lang w:val="en-US" w:eastAsia="zh-CN"/>
        </w:rPr>
        <w:t>学科</w:t>
      </w:r>
      <w:r>
        <w:rPr>
          <w:rFonts w:hint="default" w:ascii="仿宋_GB2312" w:hAnsi="仿宋_GB2312" w:eastAsia="仿宋_GB2312" w:cs="仿宋_GB2312"/>
          <w:color w:val="auto"/>
          <w:sz w:val="32"/>
          <w:szCs w:val="32"/>
          <w:u w:val="none"/>
          <w:lang w:val="en-US" w:eastAsia="zh-CN"/>
        </w:rPr>
        <w:t>竞争力全面提升，为强化现代化建设人才支撑做出重要贡献。</w:t>
      </w:r>
    </w:p>
    <w:p w14:paraId="57D47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sz w:val="32"/>
          <w:szCs w:val="32"/>
          <w:u w:val="none"/>
          <w:lang w:eastAsia="zh-CN"/>
        </w:rPr>
      </w:pPr>
      <w:r>
        <w:rPr>
          <w:rFonts w:hint="eastAsia" w:ascii="黑体" w:hAnsi="黑体" w:eastAsia="黑体" w:cs="黑体"/>
          <w:b w:val="0"/>
          <w:bCs w:val="0"/>
          <w:color w:val="000000"/>
          <w:sz w:val="32"/>
          <w:szCs w:val="32"/>
          <w:u w:val="none"/>
          <w:lang w:eastAsia="zh-CN"/>
        </w:rPr>
        <w:t>二、坚持党管人才原则，把牢人才工作正确方向</w:t>
      </w:r>
    </w:p>
    <w:p w14:paraId="709EB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eastAsia="zh-CN"/>
        </w:rPr>
      </w:pPr>
      <w:r>
        <w:rPr>
          <w:rFonts w:hint="eastAsia" w:ascii="楷体" w:hAnsi="楷体" w:eastAsia="楷体" w:cs="楷体"/>
          <w:b/>
          <w:bCs/>
          <w:color w:val="000000"/>
          <w:sz w:val="32"/>
          <w:szCs w:val="32"/>
          <w:u w:val="none"/>
          <w:lang w:val="en-US" w:eastAsia="zh-CN"/>
        </w:rPr>
        <w:t>4.强化思政引领。</w:t>
      </w:r>
      <w:r>
        <w:rPr>
          <w:rFonts w:hint="eastAsia" w:ascii="仿宋_GB2312" w:hAnsi="仿宋_GB2312" w:eastAsia="仿宋_GB2312" w:cs="仿宋_GB2312"/>
          <w:color w:val="000000"/>
          <w:sz w:val="32"/>
          <w:szCs w:val="32"/>
          <w:u w:val="none"/>
        </w:rPr>
        <w:t>坚持从政治高度定位人才工作，</w:t>
      </w:r>
      <w:r>
        <w:rPr>
          <w:rFonts w:hint="eastAsia" w:ascii="仿宋_GB2312" w:hAnsi="仿宋_GB2312" w:eastAsia="仿宋_GB2312" w:cs="仿宋_GB2312"/>
          <w:color w:val="auto"/>
          <w:sz w:val="32"/>
          <w:szCs w:val="32"/>
          <w:u w:val="none"/>
        </w:rPr>
        <w:t>将思想政治工作贯穿人才队伍建设全过程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color w:val="auto"/>
          <w:sz w:val="32"/>
          <w:szCs w:val="32"/>
          <w:u w:val="none"/>
          <w:lang w:val="en-US" w:eastAsia="zh-CN"/>
        </w:rPr>
        <w:t>坚持不懈用习近平新时代中国特色社会主义思想凝心铸魂，建立健全人才定期理论学习制度，开展面向全体人才的思想政治轮训。</w:t>
      </w:r>
      <w:r>
        <w:rPr>
          <w:rFonts w:hint="eastAsia" w:ascii="仿宋_GB2312" w:hAnsi="仿宋_GB2312" w:eastAsia="仿宋_GB2312" w:cs="仿宋_GB2312"/>
          <w:color w:val="000000"/>
          <w:sz w:val="32"/>
          <w:szCs w:val="32"/>
          <w:u w:val="none"/>
          <w:lang w:eastAsia="zh-CN"/>
        </w:rPr>
        <w:t>注重加强对人才工作的政治引领</w:t>
      </w:r>
      <w:r>
        <w:rPr>
          <w:rFonts w:hint="eastAsia" w:ascii="仿宋_GB2312" w:hAnsi="仿宋_GB2312" w:eastAsia="仿宋_GB2312" w:cs="仿宋_GB2312"/>
          <w:color w:val="000000"/>
          <w:sz w:val="32"/>
          <w:szCs w:val="32"/>
          <w:u w:val="none"/>
          <w:lang w:val="en-US" w:eastAsia="zh-CN"/>
        </w:rPr>
        <w:t>和政治吸纳</w:t>
      </w:r>
      <w:r>
        <w:rPr>
          <w:rFonts w:hint="eastAsia" w:ascii="仿宋_GB2312" w:hAnsi="仿宋_GB2312" w:eastAsia="仿宋_GB2312" w:cs="仿宋_GB2312"/>
          <w:color w:val="auto"/>
          <w:sz w:val="32"/>
          <w:szCs w:val="32"/>
          <w:u w:val="none"/>
          <w:lang w:eastAsia="zh-CN"/>
        </w:rPr>
        <w:t>，引导</w:t>
      </w:r>
      <w:r>
        <w:rPr>
          <w:rFonts w:hint="eastAsia" w:ascii="仿宋_GB2312" w:hAnsi="仿宋_GB2312" w:eastAsia="仿宋_GB2312" w:cs="仿宋_GB2312"/>
          <w:color w:val="auto"/>
          <w:sz w:val="32"/>
          <w:szCs w:val="32"/>
          <w:u w:val="none"/>
          <w:lang w:val="en-US" w:eastAsia="zh-CN"/>
        </w:rPr>
        <w:t>广大人才</w:t>
      </w:r>
      <w:r>
        <w:rPr>
          <w:rFonts w:hint="eastAsia" w:ascii="仿宋_GB2312" w:hAnsi="仿宋_GB2312" w:eastAsia="仿宋_GB2312" w:cs="仿宋_GB2312"/>
          <w:color w:val="auto"/>
          <w:sz w:val="32"/>
          <w:szCs w:val="32"/>
          <w:u w:val="none"/>
        </w:rPr>
        <w:t>心怀“国之大者”</w:t>
      </w:r>
      <w:r>
        <w:rPr>
          <w:rFonts w:hint="eastAsia" w:ascii="仿宋_GB2312" w:hAnsi="仿宋_GB2312" w:eastAsia="仿宋_GB2312" w:cs="仿宋_GB2312"/>
          <w:color w:val="auto"/>
          <w:sz w:val="32"/>
          <w:szCs w:val="32"/>
          <w:u w:val="none"/>
          <w:lang w:eastAsia="zh-CN"/>
        </w:rPr>
        <w:t>，树立“躬耕教坛、强国有我”的志向和抱负，形成优秀人才争相从教、好教师好成果不断涌现的良好局面。</w:t>
      </w:r>
      <w:r>
        <w:rPr>
          <w:rFonts w:hint="eastAsia" w:ascii="仿宋_GB2312" w:hAnsi="仿宋_GB2312" w:eastAsia="仿宋_GB2312" w:cs="仿宋_GB2312"/>
          <w:color w:val="auto"/>
          <w:sz w:val="32"/>
          <w:szCs w:val="32"/>
          <w:u w:val="none"/>
          <w:lang w:val="en-US" w:eastAsia="zh-CN"/>
        </w:rPr>
        <w:t>建立校院两级领导干部联系高层次人才制度，</w:t>
      </w:r>
      <w:r>
        <w:rPr>
          <w:rFonts w:hint="eastAsia" w:ascii="仿宋_GB2312" w:hAnsi="仿宋_GB2312" w:eastAsia="仿宋_GB2312" w:cs="仿宋_GB2312"/>
          <w:color w:val="auto"/>
          <w:sz w:val="32"/>
          <w:szCs w:val="32"/>
          <w:u w:val="none"/>
          <w:lang w:eastAsia="zh-CN"/>
        </w:rPr>
        <w:t>加大团结凝聚、教育引导、联系服务力度，激励各方面人才矢志爱国奉献、勇于创新创造，着力把各方面优秀人才集聚到学校“</w:t>
      </w:r>
      <w:r>
        <w:rPr>
          <w:rFonts w:hint="eastAsia" w:ascii="仿宋_GB2312" w:hAnsi="仿宋_GB2312" w:eastAsia="仿宋_GB2312" w:cs="仿宋_GB2312"/>
          <w:color w:val="auto"/>
          <w:sz w:val="32"/>
          <w:szCs w:val="32"/>
          <w:u w:val="none"/>
          <w:lang w:val="en-US" w:eastAsia="zh-CN"/>
        </w:rPr>
        <w:t>2810</w:t>
      </w:r>
      <w:r>
        <w:rPr>
          <w:rFonts w:hint="eastAsia" w:ascii="仿宋_GB2312" w:hAnsi="仿宋_GB2312" w:eastAsia="仿宋_GB2312" w:cs="仿宋_GB2312"/>
          <w:color w:val="auto"/>
          <w:sz w:val="32"/>
          <w:szCs w:val="32"/>
          <w:u w:val="none"/>
          <w:lang w:eastAsia="zh-CN"/>
        </w:rPr>
        <w:t>”战略目标中来。</w:t>
      </w:r>
    </w:p>
    <w:p w14:paraId="73D443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eastAsia="zh-CN"/>
        </w:rPr>
      </w:pPr>
      <w:r>
        <w:rPr>
          <w:rFonts w:hint="eastAsia" w:ascii="楷体" w:hAnsi="楷体" w:eastAsia="楷体" w:cs="楷体"/>
          <w:b/>
          <w:bCs/>
          <w:color w:val="000000"/>
          <w:sz w:val="32"/>
          <w:szCs w:val="32"/>
          <w:u w:val="none"/>
          <w:lang w:val="en-US" w:eastAsia="zh-CN"/>
        </w:rPr>
        <w:t>5.优化人才规划。</w:t>
      </w:r>
      <w:r>
        <w:rPr>
          <w:rFonts w:hint="eastAsia" w:ascii="仿宋_GB2312" w:hAnsi="仿宋_GB2312" w:eastAsia="仿宋_GB2312" w:cs="仿宋_GB2312"/>
          <w:color w:val="000000"/>
          <w:sz w:val="32"/>
          <w:szCs w:val="32"/>
          <w:u w:val="none"/>
          <w:lang w:val="en-US" w:eastAsia="zh-CN"/>
        </w:rPr>
        <w:t>健全人才工作机制，充分发挥人才工作领导小组和党委人才工作办公室的作用，</w:t>
      </w:r>
      <w:r>
        <w:rPr>
          <w:rFonts w:hint="eastAsia" w:ascii="仿宋_GB2312" w:hAnsi="仿宋_GB2312" w:eastAsia="仿宋_GB2312" w:cs="仿宋_GB2312"/>
          <w:color w:val="000000"/>
          <w:sz w:val="32"/>
          <w:szCs w:val="32"/>
          <w:u w:val="none"/>
          <w:lang w:eastAsia="zh-CN"/>
        </w:rPr>
        <w:t>构建党委统一领导、相关职能部门密切配合、二级单位主动作为、全校上下合力参与的新时代人才工作格局。以教育强国战略为引领、以教育强省部署为支撑、以学校办学定位为锚点，紧扣学科特色与区域发展需求，制定科学、系统、前瞻的人才发展规划，</w:t>
      </w:r>
      <w:r>
        <w:rPr>
          <w:rFonts w:hint="eastAsia" w:ascii="仿宋_GB2312" w:hAnsi="仿宋_GB2312" w:eastAsia="仿宋_GB2312" w:cs="仿宋_GB2312"/>
          <w:color w:val="000000"/>
          <w:sz w:val="32"/>
          <w:szCs w:val="32"/>
          <w:u w:val="none"/>
          <w:lang w:val="en-US" w:eastAsia="zh-CN"/>
        </w:rPr>
        <w:t>每年动态调整，明确人才配置方向、重点、类型，统筹近期和长远，</w:t>
      </w:r>
      <w:r>
        <w:rPr>
          <w:rFonts w:hint="eastAsia" w:ascii="仿宋_GB2312" w:hAnsi="仿宋_GB2312" w:eastAsia="仿宋_GB2312" w:cs="仿宋_GB2312"/>
          <w:color w:val="000000"/>
          <w:sz w:val="32"/>
          <w:szCs w:val="32"/>
          <w:u w:val="none"/>
          <w:lang w:eastAsia="zh-CN"/>
        </w:rPr>
        <w:t>构建“引育用留”全链条体系，精心培育一支适应一流应用研究型大学发展需求的人才队伍。</w:t>
      </w:r>
    </w:p>
    <w:p w14:paraId="31916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u w:val="none"/>
          <w:lang w:eastAsia="zh-CN"/>
        </w:rPr>
      </w:pPr>
      <w:r>
        <w:rPr>
          <w:rFonts w:hint="eastAsia" w:ascii="楷体" w:hAnsi="楷体" w:eastAsia="楷体" w:cs="楷体"/>
          <w:b/>
          <w:bCs/>
          <w:color w:val="000000"/>
          <w:sz w:val="32"/>
          <w:szCs w:val="32"/>
          <w:u w:val="none"/>
          <w:lang w:val="en-US" w:eastAsia="zh-CN"/>
        </w:rPr>
        <w:t>6.深化党建赋能。</w:t>
      </w:r>
      <w:r>
        <w:rPr>
          <w:rFonts w:hint="eastAsia" w:ascii="仿宋_GB2312" w:hAnsi="仿宋_GB2312" w:eastAsia="仿宋_GB2312" w:cs="仿宋_GB2312"/>
          <w:b w:val="0"/>
          <w:bCs/>
          <w:color w:val="auto"/>
          <w:sz w:val="32"/>
          <w:szCs w:val="32"/>
          <w:u w:val="none"/>
          <w:lang w:val="en-US" w:eastAsia="zh-CN"/>
        </w:rPr>
        <w:t>强化教师党支部规范化建设，选优配强教师党支部书记，</w:t>
      </w:r>
      <w:r>
        <w:rPr>
          <w:rFonts w:hint="eastAsia" w:ascii="仿宋_GB2312" w:hAnsi="仿宋_GB2312" w:eastAsia="仿宋_GB2312" w:cs="仿宋_GB2312"/>
          <w:color w:val="000000"/>
          <w:sz w:val="32"/>
          <w:szCs w:val="32"/>
          <w:u w:val="none"/>
          <w:lang w:val="en-US" w:eastAsia="zh-CN"/>
        </w:rPr>
        <w:t>激发</w:t>
      </w:r>
      <w:r>
        <w:rPr>
          <w:rFonts w:hint="eastAsia" w:ascii="仿宋_GB2312" w:hAnsi="仿宋_GB2312" w:eastAsia="仿宋_GB2312" w:cs="仿宋_GB2312"/>
          <w:b w:val="0"/>
          <w:bCs/>
          <w:color w:val="auto"/>
          <w:sz w:val="32"/>
          <w:szCs w:val="32"/>
          <w:u w:val="none"/>
          <w:lang w:val="en-US" w:eastAsia="zh-CN"/>
        </w:rPr>
        <w:t>教师党支部</w:t>
      </w:r>
      <w:r>
        <w:rPr>
          <w:rFonts w:hint="eastAsia" w:ascii="仿宋_GB2312" w:hAnsi="仿宋_GB2312" w:eastAsia="仿宋_GB2312" w:cs="仿宋_GB2312"/>
          <w:color w:val="000000"/>
          <w:sz w:val="32"/>
          <w:szCs w:val="32"/>
          <w:u w:val="none"/>
          <w:lang w:val="en-US" w:eastAsia="zh-CN"/>
        </w:rPr>
        <w:t>的主动性和创造力。强化党建、学术“双带头人”培育，</w:t>
      </w:r>
      <w:r>
        <w:rPr>
          <w:rFonts w:hint="eastAsia" w:ascii="仿宋_GB2312" w:hAnsi="仿宋_GB2312" w:eastAsia="仿宋_GB2312" w:cs="仿宋_GB2312"/>
          <w:b w:val="0"/>
          <w:bCs/>
          <w:color w:val="auto"/>
          <w:sz w:val="32"/>
          <w:szCs w:val="32"/>
          <w:u w:val="none"/>
          <w:lang w:val="en-US" w:eastAsia="zh-CN"/>
        </w:rPr>
        <w:t>开展高校“双带头人”教师党支部书记“强国行”专项行动，</w:t>
      </w:r>
      <w:r>
        <w:rPr>
          <w:rFonts w:hint="eastAsia" w:ascii="仿宋_GB2312" w:hAnsi="仿宋_GB2312" w:eastAsia="仿宋_GB2312" w:cs="仿宋_GB2312"/>
          <w:color w:val="000000"/>
          <w:sz w:val="32"/>
          <w:szCs w:val="32"/>
          <w:u w:val="none"/>
          <w:lang w:val="en-US" w:eastAsia="zh-CN"/>
        </w:rPr>
        <w:t>把党的领导政治优势转化为人才工作优势，以高质量党建激活</w:t>
      </w:r>
      <w:r>
        <w:rPr>
          <w:rFonts w:hint="eastAsia" w:ascii="仿宋_GB2312" w:hAnsi="仿宋_GB2312" w:eastAsia="仿宋_GB2312" w:cs="仿宋_GB2312"/>
          <w:color w:val="auto"/>
          <w:sz w:val="32"/>
          <w:szCs w:val="32"/>
          <w:u w:val="none"/>
          <w:lang w:val="en-US" w:eastAsia="zh-CN"/>
        </w:rPr>
        <w:t>人才科技创新动力。加大在高层次人才、优秀青年教师、海外留学归国教师中发展党员力度，健全把符合条件的骨干教师培养成党员、把党员教师培养成业务骨干的“双培养”机制。</w:t>
      </w:r>
    </w:p>
    <w:p w14:paraId="6A9B97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sz w:val="32"/>
          <w:szCs w:val="32"/>
          <w:u w:val="none"/>
          <w:lang w:val="en-US" w:eastAsia="zh-CN"/>
        </w:rPr>
      </w:pPr>
      <w:r>
        <w:rPr>
          <w:rFonts w:hint="eastAsia" w:ascii="黑体" w:hAnsi="黑体" w:eastAsia="黑体" w:cs="黑体"/>
          <w:b w:val="0"/>
          <w:bCs w:val="0"/>
          <w:color w:val="000000"/>
          <w:sz w:val="32"/>
          <w:szCs w:val="32"/>
          <w:u w:val="none"/>
          <w:lang w:eastAsia="zh-CN"/>
        </w:rPr>
        <w:t>三、落实师德第一标准，培养教书育人大先生</w:t>
      </w:r>
    </w:p>
    <w:p w14:paraId="2B6A9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7.健全师德建设长效机制。</w:t>
      </w:r>
      <w:r>
        <w:rPr>
          <w:rFonts w:hint="eastAsia" w:ascii="仿宋_GB2312" w:hAnsi="仿宋_GB2312" w:eastAsia="仿宋_GB2312" w:cs="仿宋_GB2312"/>
          <w:color w:val="000000"/>
          <w:sz w:val="32"/>
          <w:szCs w:val="32"/>
          <w:u w:val="none"/>
          <w:lang w:val="en-US" w:eastAsia="zh-CN"/>
        </w:rPr>
        <w:t>落实健全新时代师德师风建设长效机制意见，完善师德教育、典型引领、教师准入、日常监管、考核评价、监督指导、举报核处、权益保障、责任落实与追究、光荣退休等十项机制。严把教师“入口关”，落实“三必调”“两尽调”，全方位加强对新进人才的综合考察，探索建立教师师德档案。面向全体人才每年开展师德专题教育、师德教育实践、师德警示教育，提升师德教育实效。压实二级单位师德师风建设主体责任，强化师德师风监督考核，依法依规严肃查处师德失范问题。对涉师不实举报及时澄清、依法惩处，维护教师良好形象。</w:t>
      </w:r>
    </w:p>
    <w:p w14:paraId="5937CA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8.强化教育家精神铸魂强师。</w:t>
      </w:r>
      <w:r>
        <w:rPr>
          <w:rFonts w:hint="eastAsia" w:ascii="仿宋_GB2312" w:hAnsi="仿宋_GB2312" w:eastAsia="仿宋_GB2312" w:cs="仿宋_GB2312"/>
          <w:color w:val="000000"/>
          <w:sz w:val="32"/>
          <w:szCs w:val="32"/>
          <w:u w:val="none"/>
          <w:lang w:val="en-US" w:eastAsia="zh-CN"/>
        </w:rPr>
        <w:t>开展教育家精神培育涵养，把教育家精神融入教师培养发展全过程，引导教师将教育家精神作为共同价值追求。强化教育家精神弘扬践行，通过榜样引领、情景体验、实践教育、师生互动等形式，将教育家精神贯穿教师课堂教学、科学研究、社会服务等各环节，引导教师立德修身、潜心育人。深挖理论富矿，推进习近平总书记在福建工作期间关于教师队伍建设的创新理念和重大实践转化为教师培训课程和实践资源。注重用教育家精神引领激励，将每年9月份定为“尊师月”，健全优秀教师选树宣传体系，持续开展从教满30年表彰、新教师入职宣誓、教师节荣誉表彰、教职工荣休等系列活动，引导教师见贤思齐、启心致远。</w:t>
      </w:r>
    </w:p>
    <w:p w14:paraId="016F6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sz w:val="32"/>
          <w:szCs w:val="32"/>
          <w:u w:val="none"/>
          <w:lang w:val="en-US" w:eastAsia="zh-CN"/>
        </w:rPr>
      </w:pPr>
      <w:r>
        <w:rPr>
          <w:rFonts w:hint="eastAsia" w:ascii="黑体" w:hAnsi="黑体" w:eastAsia="黑体" w:cs="黑体"/>
          <w:b w:val="0"/>
          <w:bCs w:val="0"/>
          <w:color w:val="000000"/>
          <w:sz w:val="32"/>
          <w:szCs w:val="32"/>
          <w:u w:val="none"/>
          <w:lang w:val="en-US" w:eastAsia="zh-CN"/>
        </w:rPr>
        <w:t>四、完善人才引育体系，激活人才集聚强磁场</w:t>
      </w:r>
    </w:p>
    <w:p w14:paraId="52D3E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u w:val="none"/>
          <w:lang w:val="en-US" w:eastAsia="zh-CN"/>
        </w:rPr>
      </w:pPr>
      <w:r>
        <w:rPr>
          <w:rFonts w:hint="eastAsia" w:ascii="楷体" w:hAnsi="楷体" w:eastAsia="楷体" w:cs="楷体"/>
          <w:b/>
          <w:bCs/>
          <w:color w:val="000000"/>
          <w:sz w:val="32"/>
          <w:szCs w:val="32"/>
          <w:u w:val="none"/>
          <w:lang w:val="en-US" w:eastAsia="zh-CN"/>
        </w:rPr>
        <w:t>9.推进高层次人才精准引进。</w:t>
      </w:r>
      <w:r>
        <w:rPr>
          <w:rFonts w:hint="eastAsia" w:ascii="仿宋_GB2312" w:hAnsi="仿宋_GB2312" w:eastAsia="仿宋_GB2312" w:cs="仿宋_GB2312"/>
          <w:b w:val="0"/>
          <w:bCs w:val="0"/>
          <w:color w:val="000000"/>
          <w:sz w:val="32"/>
          <w:szCs w:val="32"/>
          <w:u w:val="none"/>
          <w:lang w:val="en-US" w:eastAsia="zh-CN"/>
        </w:rPr>
        <w:t>聚焦更名大学补短板、强弱项，结合做强工科、做特人文社科、做精教师教育学科，精准实施</w:t>
      </w:r>
      <w:r>
        <w:rPr>
          <w:rFonts w:hint="eastAsia" w:ascii="仿宋_GB2312" w:hAnsi="仿宋_GB2312" w:eastAsia="仿宋_GB2312" w:cs="仿宋_GB2312"/>
          <w:b w:val="0"/>
          <w:bCs w:val="0"/>
          <w:color w:val="auto"/>
          <w:sz w:val="32"/>
          <w:szCs w:val="32"/>
          <w:u w:val="none"/>
          <w:lang w:val="en-US" w:eastAsia="zh-CN"/>
        </w:rPr>
        <w:t>高层次人才引进计划，精准规划设置引才岗位，细化各岗位引进层次、学术标准和聘任条件，以组建高水平学科团队为导向，以重点学科、新兴学科、交叉学科、急需紧缺学科等为重点，</w:t>
      </w:r>
      <w:r>
        <w:rPr>
          <w:rFonts w:hint="eastAsia" w:ascii="仿宋_GB2312" w:hAnsi="仿宋_GB2312" w:eastAsia="仿宋_GB2312" w:cs="仿宋_GB2312"/>
          <w:color w:val="auto"/>
          <w:sz w:val="32"/>
          <w:szCs w:val="32"/>
          <w:u w:val="none"/>
          <w:lang w:val="en-US" w:eastAsia="zh-CN"/>
        </w:rPr>
        <w:t>推动A类学科“精准引”，B类学科“补短板引”，紧缺急需学科“目录引”，学科交叉融合“特色引”，</w:t>
      </w:r>
      <w:r>
        <w:rPr>
          <w:rFonts w:hint="eastAsia" w:ascii="仿宋_GB2312" w:hAnsi="仿宋_GB2312" w:eastAsia="仿宋_GB2312" w:cs="仿宋_GB2312"/>
          <w:b w:val="0"/>
          <w:bCs w:val="0"/>
          <w:color w:val="000000"/>
          <w:sz w:val="32"/>
          <w:szCs w:val="32"/>
          <w:u w:val="none"/>
          <w:lang w:val="en-US" w:eastAsia="zh-CN"/>
        </w:rPr>
        <w:t>吸引和汇聚一批有影响力的领军人才和在学科领域、团队建设、科研创新等方面起带头作用的高水平专家以及世界一流大学和一流学科优秀博士毕业生或博士后。围绕福建省“555X”产业集群和泉州市“955”现代产业集群建设，加强产业人才引进超常布局，大力引进“人工智能+”“新材料+”“文化遗产+”及低空经济、先进装备制造、</w:t>
      </w:r>
      <w:r>
        <w:rPr>
          <w:rFonts w:hint="eastAsia" w:ascii="仿宋_GB2312" w:hAnsi="宋体" w:eastAsia="仿宋_GB2312" w:cs="仿宋_GB2312"/>
          <w:kern w:val="2"/>
          <w:sz w:val="32"/>
          <w:szCs w:val="32"/>
          <w:u w:val="none"/>
          <w:lang w:val="en-US" w:eastAsia="zh-CN"/>
          <w:woUserID w:val="7"/>
        </w:rPr>
        <w:t>绿色食品、生物医药</w:t>
      </w:r>
      <w:r>
        <w:rPr>
          <w:rFonts w:hint="eastAsia" w:ascii="仿宋_GB2312" w:hAnsi="仿宋_GB2312" w:eastAsia="仿宋_GB2312" w:cs="仿宋_GB2312"/>
          <w:b w:val="0"/>
          <w:bCs w:val="0"/>
          <w:color w:val="000000"/>
          <w:sz w:val="32"/>
          <w:szCs w:val="32"/>
          <w:u w:val="none"/>
          <w:lang w:val="en-US" w:eastAsia="zh-CN"/>
        </w:rPr>
        <w:t>等领域紧缺急需人才，畅通“学科-人才-产业”一体化链条。</w:t>
      </w:r>
    </w:p>
    <w:p w14:paraId="54BD7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b/>
          <w:bCs/>
          <w:color w:val="000000"/>
          <w:sz w:val="32"/>
          <w:szCs w:val="32"/>
          <w:u w:val="none"/>
          <w:lang w:val="en-US" w:eastAsia="zh-CN"/>
        </w:rPr>
        <w:t>10.构建人才接续培养体系。</w:t>
      </w:r>
      <w:r>
        <w:rPr>
          <w:rFonts w:hint="eastAsia" w:ascii="仿宋_GB2312" w:hAnsi="仿宋_GB2312" w:eastAsia="仿宋_GB2312" w:cs="仿宋_GB2312"/>
          <w:color w:val="auto"/>
          <w:sz w:val="32"/>
          <w:szCs w:val="32"/>
          <w:u w:val="none"/>
          <w:lang w:val="en-US" w:eastAsia="zh-CN"/>
        </w:rPr>
        <w:t>加强青年人才学术引领，</w:t>
      </w:r>
      <w:r>
        <w:rPr>
          <w:rFonts w:hint="eastAsia" w:ascii="仿宋_GB2312" w:hAnsi="仿宋_GB2312" w:eastAsia="仿宋_GB2312" w:cs="仿宋_GB2312"/>
          <w:color w:val="auto"/>
          <w:kern w:val="2"/>
          <w:sz w:val="32"/>
          <w:szCs w:val="32"/>
          <w:u w:val="none"/>
          <w:lang w:val="en-US" w:eastAsia="zh-CN" w:bidi="ar-SA"/>
        </w:rPr>
        <w:t>实行新进青年教师导师制。</w:t>
      </w:r>
      <w:r>
        <w:rPr>
          <w:rFonts w:hint="eastAsia" w:ascii="仿宋_GB2312" w:hAnsi="仿宋_GB2312" w:eastAsia="仿宋_GB2312" w:cs="仿宋_GB2312"/>
          <w:b w:val="0"/>
          <w:bCs w:val="0"/>
          <w:color w:val="auto"/>
          <w:sz w:val="32"/>
          <w:szCs w:val="32"/>
          <w:u w:val="none"/>
          <w:lang w:val="en-US" w:eastAsia="zh-CN"/>
        </w:rPr>
        <w:t>总结推广泉州文化遗产研究院“多学科团队交叉融合”模式、数学与计算机科学学院“特聘教授组团式传帮带”模式，</w:t>
      </w:r>
      <w:r>
        <w:rPr>
          <w:rFonts w:hint="eastAsia" w:ascii="仿宋_GB2312" w:hAnsi="仿宋_GB2312" w:eastAsia="仿宋_GB2312" w:cs="仿宋_GB2312"/>
          <w:color w:val="auto"/>
          <w:sz w:val="32"/>
          <w:szCs w:val="32"/>
          <w:u w:val="none"/>
          <w:lang w:val="en-US" w:eastAsia="zh-CN"/>
        </w:rPr>
        <w:t>健全贯通青年人才成长全周期的培养支持体系。开展“青年人才跃升行动”，探索长周期培养模式，重点支持一批40周岁以下的青年科技人才挑大梁、当主角。</w:t>
      </w:r>
      <w:r>
        <w:rPr>
          <w:rFonts w:hint="eastAsia" w:ascii="仿宋_GB2312" w:hAnsi="仿宋_GB2312" w:eastAsia="仿宋_GB2312" w:cs="仿宋_GB2312"/>
          <w:b w:val="0"/>
          <w:bCs w:val="0"/>
          <w:color w:val="auto"/>
          <w:sz w:val="32"/>
          <w:szCs w:val="32"/>
          <w:u w:val="none"/>
          <w:lang w:val="en-US" w:eastAsia="zh-CN"/>
        </w:rPr>
        <w:t>探索建立与一流大学“跟岗式”“委托式”“参与式”联合培养优秀青年人才机制。</w:t>
      </w:r>
      <w:r>
        <w:rPr>
          <w:rFonts w:hint="eastAsia" w:ascii="仿宋_GB2312" w:hAnsi="仿宋_GB2312" w:eastAsia="仿宋_GB2312" w:cs="仿宋_GB2312"/>
          <w:color w:val="auto"/>
          <w:sz w:val="32"/>
          <w:szCs w:val="32"/>
          <w:u w:val="none"/>
          <w:lang w:val="en-US" w:eastAsia="zh-CN"/>
        </w:rPr>
        <w:t>实施“清源学者攀登”计划，针对不同层次类型人才制定差异化的支持政策，构建“青年学者—优秀学者—杰出学者”人才接续培养育成体系，打造内生式人才梯队。</w:t>
      </w:r>
    </w:p>
    <w:p w14:paraId="2E5F95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11.打造实践培养新范式。</w:t>
      </w:r>
      <w:r>
        <w:rPr>
          <w:rFonts w:hint="eastAsia" w:ascii="仿宋_GB2312" w:hAnsi="仿宋_GB2312" w:eastAsia="仿宋_GB2312" w:cs="仿宋_GB2312"/>
          <w:b w:val="0"/>
          <w:bCs w:val="0"/>
          <w:color w:val="auto"/>
          <w:sz w:val="32"/>
          <w:szCs w:val="32"/>
          <w:u w:val="none"/>
          <w:lang w:val="en-US" w:eastAsia="zh-CN"/>
        </w:rPr>
        <w:t>突出应用型高校办学定位和应用型师资建设特点，坚持把服务区域经济社会高质量发展作为重大使命，大力实施“百名优秀博士进企业、百名产业人才进高校、百名科技服务团成员进产业链”校地合作“三百计划”，更有组织、更加主动地服务泉州产业发展需求，探索企业“出题”、学校“答题”的产学研深度融合范式。实施校企（院）双聘计划，携手龙头企业、高水平研究机构合作试点开展人才共引、共育、共用、共享模式。</w:t>
      </w:r>
      <w:r>
        <w:rPr>
          <w:rFonts w:hint="eastAsia" w:ascii="仿宋_GB2312" w:hAnsi="仿宋_GB2312" w:eastAsia="仿宋_GB2312" w:cs="仿宋_GB2312"/>
          <w:color w:val="auto"/>
          <w:sz w:val="32"/>
          <w:szCs w:val="32"/>
          <w:u w:val="none"/>
          <w:lang w:val="en-US" w:eastAsia="zh-CN"/>
        </w:rPr>
        <w:t>实施科研创新团队建设计划，主动对接省市产业发展需求，强化校企联合攻关，打造一批优秀科研团队。</w:t>
      </w:r>
    </w:p>
    <w:p w14:paraId="556636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楷体" w:hAnsi="楷体" w:eastAsia="楷体" w:cs="楷体"/>
          <w:b/>
          <w:bCs/>
          <w:color w:val="000000"/>
          <w:sz w:val="32"/>
          <w:szCs w:val="32"/>
          <w:u w:val="none"/>
          <w:lang w:val="en-US" w:eastAsia="zh-CN"/>
        </w:rPr>
        <w:t>12.提高教师数字素养。</w:t>
      </w:r>
      <w:r>
        <w:rPr>
          <w:rFonts w:hint="eastAsia" w:ascii="仿宋_GB2312" w:hAnsi="仿宋_GB2312" w:eastAsia="仿宋_GB2312" w:cs="仿宋_GB2312"/>
          <w:color w:val="000000"/>
          <w:kern w:val="2"/>
          <w:sz w:val="32"/>
          <w:szCs w:val="32"/>
          <w:u w:val="none"/>
          <w:lang w:val="en-US" w:eastAsia="zh-CN" w:bidi="ar-SA"/>
        </w:rPr>
        <w:t>升级“人工智能+教育”基础设施，打造智慧教学平台、人工智能教育创新实验室等，打造“师-生-机”三元协同教学新场景。支持教师开展智能化、个性化、沉浸式教学创新，推动人工智能技术在教师备课、课堂教学、课堂考试、辅导答疑等方面创新应用。落实《人工智能+教师发展行动方案》，构建“智能工具应用—教学方法融合-教学研究创新”的人工智能师资进阶体系，实现人工智能素养培训全覆盖、专任教师实践能力和前沿知识更新全覆盖。落实《教师生成式人工智能应用指引（第一版）》，以“场景指引”建立“正面清单”，以“规范指引”建立“负面清单”。整合校内外人工智能资源，强化与领军企业、科研机构合作，通过开发课程体系、共享师资团队、关键技术攻关等模式，构建“人工智能+”产教融合体系，培养人工智能领域优秀人才。</w:t>
      </w:r>
    </w:p>
    <w:p w14:paraId="37F2E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sz w:val="32"/>
          <w:szCs w:val="32"/>
          <w:u w:val="none"/>
          <w:lang w:val="en-US" w:eastAsia="zh-CN"/>
        </w:rPr>
      </w:pPr>
      <w:r>
        <w:rPr>
          <w:rFonts w:hint="eastAsia" w:ascii="黑体" w:hAnsi="黑体" w:eastAsia="黑体" w:cs="黑体"/>
          <w:b w:val="0"/>
          <w:bCs w:val="0"/>
          <w:color w:val="000000"/>
          <w:sz w:val="32"/>
          <w:szCs w:val="32"/>
          <w:u w:val="none"/>
          <w:lang w:val="en-US" w:eastAsia="zh-CN"/>
        </w:rPr>
        <w:t>五、深化人事制度改革，激发人才创新源动力</w:t>
      </w:r>
    </w:p>
    <w:p w14:paraId="6E7D5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13.改革考核评价机制。</w:t>
      </w:r>
      <w:r>
        <w:rPr>
          <w:rFonts w:hint="eastAsia" w:ascii="仿宋_GB2312" w:hAnsi="仿宋_GB2312" w:eastAsia="仿宋_GB2312" w:cs="仿宋_GB2312"/>
          <w:color w:val="000000"/>
          <w:sz w:val="32"/>
          <w:szCs w:val="32"/>
          <w:u w:val="none"/>
          <w:lang w:val="en-US" w:eastAsia="zh-CN"/>
        </w:rPr>
        <w:t>坚持“破五唯”与“立新标”并举，统筹考虑教师职业志向、学科领域、岗位角色的特点，</w:t>
      </w:r>
      <w:r>
        <w:rPr>
          <w:rFonts w:hint="eastAsia" w:ascii="仿宋_GB2312" w:hAnsi="仿宋_GB2312" w:eastAsia="仿宋_GB2312" w:cs="仿宋_GB2312"/>
          <w:sz w:val="32"/>
          <w:szCs w:val="32"/>
          <w:u w:val="none"/>
        </w:rPr>
        <w:t>建立以创新价值、能力、贡献为导向的人才评价体系，突出标志性成果的质量、贡献和影响力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000000"/>
          <w:sz w:val="32"/>
          <w:szCs w:val="32"/>
          <w:u w:val="none"/>
          <w:lang w:val="en-US" w:eastAsia="zh-CN"/>
        </w:rPr>
        <w:t>完善“菜单式”评价指标、分科类职称评价标准，健全校外同行专家评议机制，推进代表性成果评价制度，探索省级以上优秀案例、咨政报告、获奖作品及植物新品种等作为代表性业绩。客观评估个人与团队贡献，探索“领军人才+创新团队”整体性考核评价。完善教学质量评价制度，通过考评教学规范、教学效果、教学改革等实绩，加强教书育人实效评价，促进教师将最新科研成果融入教学。持续优化教师多元发展、分类评价机制，建立教师系列高级专业技术职务分类聘任体系。用好预聘和直聘高级职称制度，建立支持贡献突出、潜力较大的优秀中青年教师晋升发展“绿色通道”。</w:t>
      </w:r>
    </w:p>
    <w:p w14:paraId="5463F1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48"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Microsoft YaHei UI" w:hAnsi="Microsoft YaHei UI" w:eastAsia="Microsoft YaHei UI" w:cs="Microsoft YaHei UI"/>
          <w:b w:val="0"/>
          <w:bCs w:val="0"/>
          <w:i w:val="0"/>
          <w:iCs w:val="0"/>
          <w:caps w:val="0"/>
          <w:color w:val="000000"/>
          <w:spacing w:val="7"/>
          <w:sz w:val="16"/>
          <w:szCs w:val="16"/>
          <w:u w:val="none"/>
          <w:shd w:val="clear" w:fill="FFFFFF"/>
        </w:rPr>
        <w:t>　</w:t>
      </w:r>
      <w:r>
        <w:rPr>
          <w:rFonts w:hint="eastAsia" w:ascii="楷体" w:hAnsi="楷体" w:eastAsia="楷体" w:cs="楷体"/>
          <w:b/>
          <w:bCs/>
          <w:color w:val="000000"/>
          <w:sz w:val="32"/>
          <w:szCs w:val="32"/>
          <w:u w:val="none"/>
          <w:lang w:val="en-US" w:eastAsia="zh-CN"/>
        </w:rPr>
        <w:t>　14.优化人员聘用机制。</w:t>
      </w:r>
      <w:r>
        <w:rPr>
          <w:rFonts w:hint="eastAsia" w:ascii="仿宋_GB2312" w:hAnsi="仿宋_GB2312" w:eastAsia="仿宋_GB2312" w:cs="仿宋_GB2312"/>
          <w:color w:val="000000"/>
          <w:sz w:val="32"/>
          <w:szCs w:val="32"/>
          <w:u w:val="none"/>
          <w:lang w:val="en-US" w:eastAsia="zh-CN"/>
        </w:rPr>
        <w:t>健全岗位管理制度，完善“保级”与“晋级”岗位分级管理，以及“教学为主型”“教学科研型”“科研为主型”分类聘用标准，打造“人岗相适、强化责任、以岗定酬、流转有序”的全链条岗位管理机制。强化聘期管理，加强对人才合同履行和作用发挥情况的考核，完善“能上能下”动态管理机制。探索“准聘-长聘”制度，以培养和留住人才为核心目标，科学设定预聘期限，精心设计职业发展路径，强化过程管理、及时反馈与精准指导。坚持统分结合，建立学校、二级单位两级负责的岗位设置和管理体制，稳步开展二级单位副高级专业技术岗位以下自主聘用与考核试点工作。</w:t>
      </w:r>
    </w:p>
    <w:p w14:paraId="31376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15.健全绩效分配机制。</w:t>
      </w:r>
      <w:r>
        <w:rPr>
          <w:rFonts w:hint="eastAsia" w:ascii="仿宋_GB2312" w:hAnsi="仿宋_GB2312" w:eastAsia="仿宋_GB2312" w:cs="仿宋_GB2312"/>
          <w:color w:val="000000"/>
          <w:sz w:val="32"/>
          <w:szCs w:val="32"/>
          <w:u w:val="none"/>
          <w:lang w:val="en-US" w:eastAsia="zh-CN"/>
        </w:rPr>
        <w:t>稳步推进绩效工资和绩效奖金方案改革，构建科学合理的目标绩效管理制度体系，落实个人岗位考核、单位目标考核与绩效工资挂钩，对教学、科研、管理与服务有重要或突出贡献的单位或个人予以重奖，健全以持续质量和实际贡献为核心的薪酬分配体系。创新人才工资分配激励政策，优化二级单位绩效分配自主权，对高层次人才实行年薪制、协议工资制、项目工资等灵活多样的分配形式，建立激发创新活力、知识价值导向、管理规范有效、保障激励兼顾的高层次人才薪酬制度。</w:t>
      </w:r>
    </w:p>
    <w:p w14:paraId="72FC6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16.健全成果转化激励机制。</w:t>
      </w:r>
      <w:r>
        <w:rPr>
          <w:rFonts w:hint="eastAsia" w:ascii="仿宋_GB2312" w:hAnsi="仿宋_GB2312" w:eastAsia="仿宋_GB2312" w:cs="仿宋_GB2312"/>
          <w:color w:val="000000"/>
          <w:sz w:val="32"/>
          <w:szCs w:val="32"/>
          <w:u w:val="none"/>
          <w:lang w:val="en-US" w:eastAsia="zh-CN"/>
        </w:rPr>
        <w:t>深化职务科技成果赋权改革，赋予科技成果完成人或者完成团队职务科技成果所有权或者长期使用权，并书面约定权属比例、使用权期限、衍生权益归属、收益分配比例、转化时限、转化费用分担等重要事项。探索实行科技成果“先使用后付费”或“赋权+转让+约定收益”模式。健全科技成果转化收益分配机制，促进成果转化参与人员收入与对成果转化的实际贡献相匹配。建立科技成果转化尽职免责机制，消除科技成果“不敢转”和“不想转”的疑虑。</w:t>
      </w:r>
    </w:p>
    <w:p w14:paraId="44DE6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color w:val="000000"/>
          <w:sz w:val="32"/>
          <w:szCs w:val="32"/>
          <w:u w:val="none"/>
          <w:lang w:val="en-US" w:eastAsia="zh-CN"/>
        </w:rPr>
      </w:pPr>
      <w:r>
        <w:rPr>
          <w:rFonts w:hint="eastAsia" w:ascii="黑体" w:hAnsi="黑体" w:eastAsia="黑体" w:cs="黑体"/>
          <w:b w:val="0"/>
          <w:bCs w:val="0"/>
          <w:color w:val="000000"/>
          <w:sz w:val="32"/>
          <w:szCs w:val="32"/>
          <w:u w:val="none"/>
          <w:lang w:val="en-US" w:eastAsia="zh-CN"/>
        </w:rPr>
        <w:t>六、优化发展服务平台，营造近悦远来新生态</w:t>
      </w:r>
      <w:r>
        <w:rPr>
          <w:rFonts w:hint="eastAsia" w:ascii="黑体" w:hAnsi="黑体" w:eastAsia="黑体" w:cs="黑体"/>
          <w:b/>
          <w:bCs/>
          <w:color w:val="000000"/>
          <w:sz w:val="32"/>
          <w:szCs w:val="32"/>
          <w:u w:val="none"/>
          <w:lang w:val="en-US" w:eastAsia="zh-CN"/>
        </w:rPr>
        <w:t xml:space="preserve"> </w:t>
      </w:r>
    </w:p>
    <w:p w14:paraId="4A9AF1AB">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000000"/>
          <w:kern w:val="2"/>
          <w:sz w:val="32"/>
          <w:szCs w:val="32"/>
          <w:u w:val="none"/>
          <w:lang w:val="en-US" w:eastAsia="zh-CN" w:bidi="ar-SA"/>
        </w:rPr>
      </w:pPr>
      <w:r>
        <w:rPr>
          <w:rFonts w:hint="eastAsia" w:ascii="楷体" w:hAnsi="楷体" w:eastAsia="楷体" w:cs="楷体"/>
          <w:b/>
          <w:bCs/>
          <w:color w:val="000000"/>
          <w:sz w:val="32"/>
          <w:szCs w:val="32"/>
          <w:u w:val="none"/>
          <w:lang w:val="en-US" w:eastAsia="zh-CN"/>
        </w:rPr>
        <w:t>17.建好人才发展支持平台。</w:t>
      </w:r>
      <w:r>
        <w:rPr>
          <w:rFonts w:hint="eastAsia" w:ascii="仿宋_GB2312" w:hAnsi="仿宋_GB2312" w:eastAsia="仿宋_GB2312" w:cs="仿宋_GB2312"/>
          <w:color w:val="000000"/>
          <w:kern w:val="2"/>
          <w:sz w:val="32"/>
          <w:szCs w:val="32"/>
          <w:u w:val="none"/>
          <w:lang w:val="en-US" w:eastAsia="zh-CN" w:bidi="ar-SA"/>
        </w:rPr>
        <w:t>建好教师发展中心，统筹教师研修、职业发展咨询、教育教学指导、学术发展、学习资源服务等职责，建立教师职业发展和终身培训制度。坚持校内培训与校外进修、国际交流与国内合作、学历提升与素质提高相结合，分类支持人才成长成才。</w:t>
      </w:r>
      <w:r>
        <w:rPr>
          <w:rFonts w:hint="eastAsia" w:ascii="仿宋_GB2312" w:hAnsi="仿宋_GB2312" w:eastAsia="仿宋_GB2312" w:cs="仿宋_GB2312"/>
          <w:color w:val="auto"/>
          <w:kern w:val="2"/>
          <w:sz w:val="32"/>
          <w:szCs w:val="32"/>
          <w:u w:val="none"/>
          <w:lang w:val="en-US" w:eastAsia="zh-CN" w:bidi="ar-SA"/>
        </w:rPr>
        <w:t>夯实教学能力提升支持平台，培育一批有影响力的高水平专业和课程负责人、优秀教学成果奖获得者、教学竞赛获得者、优秀教材编写者。持续加强省部级科研平台布局建设，积极参与和融入高校区域技术转移转化中心（福建）建设。推进</w:t>
      </w:r>
      <w:r>
        <w:rPr>
          <w:rFonts w:hint="eastAsia" w:ascii="仿宋_GB2312" w:hAnsi="仿宋_GB2312" w:eastAsia="仿宋_GB2312" w:cs="仿宋_GB2312"/>
          <w:color w:val="000000"/>
          <w:kern w:val="2"/>
          <w:sz w:val="32"/>
          <w:szCs w:val="32"/>
          <w:u w:val="none"/>
          <w:lang w:val="en-US" w:eastAsia="zh-CN" w:bidi="ar-SA"/>
        </w:rPr>
        <w:t>与行业企业共建产学研实践基地、企业工作站，支持教师与行业企业协同创新，提升工程实践能力。</w:t>
      </w:r>
    </w:p>
    <w:p w14:paraId="66D37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bCs/>
          <w:color w:val="000000"/>
          <w:sz w:val="32"/>
          <w:szCs w:val="32"/>
          <w:u w:val="none"/>
          <w:lang w:val="en-US" w:eastAsia="zh-CN"/>
        </w:rPr>
        <w:t>18.深化“人才特区”建设。</w:t>
      </w:r>
      <w:r>
        <w:rPr>
          <w:rFonts w:hint="eastAsia" w:ascii="仿宋_GB2312" w:hAnsi="仿宋_GB2312" w:eastAsia="仿宋_GB2312" w:cs="仿宋_GB2312"/>
          <w:b w:val="0"/>
          <w:bCs w:val="0"/>
          <w:color w:val="auto"/>
          <w:kern w:val="2"/>
          <w:sz w:val="32"/>
          <w:szCs w:val="32"/>
          <w:u w:val="none"/>
          <w:lang w:val="en-US" w:eastAsia="zh-CN" w:bidi="ar-SA"/>
        </w:rPr>
        <w:t>持续深化泉州文化遗产研究院“人才特区”建设，总结推广人才特区试点经验，进一步‌扩大人才自主权限。在部分高水平平台机构进一步探索试点首席科学家负责制、PI（项目负责人）管理模式，</w:t>
      </w:r>
      <w:r>
        <w:rPr>
          <w:rFonts w:hint="eastAsia" w:ascii="仿宋_GB2312" w:hAnsi="仿宋_GB2312" w:eastAsia="仿宋_GB2312" w:cs="仿宋_GB2312"/>
          <w:sz w:val="32"/>
          <w:szCs w:val="32"/>
          <w:u w:val="none"/>
        </w:rPr>
        <w:t>赋予团队在人员聘用、薪酬分配、经费使用等方面更大自主权。</w:t>
      </w:r>
    </w:p>
    <w:p w14:paraId="200DE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b/>
          <w:bCs/>
          <w:color w:val="000000"/>
          <w:sz w:val="32"/>
          <w:szCs w:val="32"/>
          <w:u w:val="none"/>
          <w:lang w:val="en-US" w:eastAsia="zh-CN"/>
        </w:rPr>
        <w:t>19.构筑学科交叉融合平台。</w:t>
      </w:r>
      <w:r>
        <w:rPr>
          <w:rFonts w:hint="eastAsia" w:ascii="仿宋_GB2312" w:hAnsi="仿宋_GB2312" w:eastAsia="仿宋_GB2312" w:cs="仿宋_GB2312"/>
          <w:color w:val="auto"/>
          <w:sz w:val="32"/>
          <w:szCs w:val="32"/>
          <w:u w:val="none"/>
        </w:rPr>
        <w:t>依托泉州文化遗产研究院</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光子技术研究院、晋江经验研究院、世界闽南文化交流研究院、无废城市研究院、闽台高等教育融合发展研究院</w:t>
      </w:r>
      <w:r>
        <w:rPr>
          <w:rFonts w:hint="eastAsia" w:ascii="仿宋_GB2312" w:hAnsi="仿宋_GB2312" w:eastAsia="仿宋_GB2312" w:cs="仿宋_GB2312"/>
          <w:color w:val="auto"/>
          <w:sz w:val="32"/>
          <w:szCs w:val="32"/>
          <w:u w:val="none"/>
        </w:rPr>
        <w:t>等新型</w:t>
      </w:r>
      <w:r>
        <w:rPr>
          <w:rFonts w:hint="eastAsia" w:ascii="仿宋_GB2312" w:hAnsi="仿宋_GB2312" w:eastAsia="仿宋_GB2312" w:cs="仿宋_GB2312"/>
          <w:color w:val="auto"/>
          <w:sz w:val="32"/>
          <w:szCs w:val="32"/>
          <w:u w:val="none"/>
          <w:lang w:val="en-US" w:eastAsia="zh-CN"/>
        </w:rPr>
        <w:t>交叉研究</w:t>
      </w:r>
      <w:r>
        <w:rPr>
          <w:rFonts w:hint="eastAsia" w:ascii="仿宋_GB2312" w:hAnsi="仿宋_GB2312" w:eastAsia="仿宋_GB2312" w:cs="仿宋_GB2312"/>
          <w:color w:val="auto"/>
          <w:sz w:val="32"/>
          <w:szCs w:val="32"/>
          <w:u w:val="none"/>
        </w:rPr>
        <w:t>机构，</w:t>
      </w:r>
      <w:r>
        <w:rPr>
          <w:rFonts w:hint="eastAsia" w:ascii="仿宋_GB2312" w:hAnsi="仿宋_GB2312" w:eastAsia="仿宋_GB2312" w:cs="仿宋_GB2312"/>
          <w:color w:val="auto"/>
          <w:sz w:val="32"/>
          <w:szCs w:val="32"/>
          <w:u w:val="none"/>
          <w:lang w:val="en-US" w:eastAsia="zh-CN"/>
        </w:rPr>
        <w:t>建立学科交叉融合中心，</w:t>
      </w:r>
      <w:r>
        <w:rPr>
          <w:rFonts w:hint="eastAsia" w:ascii="仿宋_GB2312" w:hAnsi="仿宋_GB2312" w:eastAsia="仿宋_GB2312" w:cs="仿宋_GB2312"/>
          <w:color w:val="auto"/>
          <w:sz w:val="32"/>
          <w:szCs w:val="32"/>
          <w:u w:val="none"/>
        </w:rPr>
        <w:t>‌打破学院与学科壁垒，围绕</w:t>
      </w:r>
      <w:r>
        <w:rPr>
          <w:rFonts w:hint="eastAsia" w:ascii="仿宋_GB2312" w:hAnsi="仿宋_GB2312" w:eastAsia="仿宋_GB2312" w:cs="仿宋_GB2312"/>
          <w:color w:val="auto"/>
          <w:sz w:val="32"/>
          <w:szCs w:val="32"/>
          <w:u w:val="none"/>
          <w:lang w:val="en-US" w:eastAsia="zh-CN"/>
        </w:rPr>
        <w:t>文化遗产</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无废城市建设、闽南文化、孤独症儿童筛查评估</w:t>
      </w:r>
      <w:r>
        <w:rPr>
          <w:rFonts w:hint="eastAsia" w:ascii="仿宋_GB2312" w:hAnsi="仿宋_GB2312" w:eastAsia="仿宋_GB2312" w:cs="仿宋_GB2312"/>
          <w:color w:val="auto"/>
          <w:sz w:val="32"/>
          <w:szCs w:val="32"/>
          <w:u w:val="none"/>
        </w:rPr>
        <w:t>等领域凝练多学科交叉项目，以大项目</w:t>
      </w:r>
      <w:r>
        <w:rPr>
          <w:rFonts w:hint="eastAsia" w:ascii="仿宋_GB2312" w:hAnsi="仿宋_GB2312" w:eastAsia="仿宋_GB2312" w:cs="仿宋_GB2312"/>
          <w:color w:val="auto"/>
          <w:sz w:val="32"/>
          <w:szCs w:val="32"/>
          <w:u w:val="none"/>
          <w:lang w:val="en-US" w:eastAsia="zh-CN"/>
        </w:rPr>
        <w:t>牵引</w:t>
      </w:r>
      <w:r>
        <w:rPr>
          <w:rFonts w:hint="eastAsia" w:ascii="仿宋_GB2312" w:hAnsi="仿宋_GB2312" w:eastAsia="仿宋_GB2312" w:cs="仿宋_GB2312"/>
          <w:color w:val="auto"/>
          <w:sz w:val="32"/>
          <w:szCs w:val="32"/>
          <w:u w:val="none"/>
        </w:rPr>
        <w:t>带动</w:t>
      </w:r>
      <w:r>
        <w:rPr>
          <w:rFonts w:hint="eastAsia" w:ascii="仿宋_GB2312" w:hAnsi="仿宋_GB2312" w:eastAsia="仿宋_GB2312" w:cs="仿宋_GB2312"/>
          <w:color w:val="auto"/>
          <w:sz w:val="32"/>
          <w:szCs w:val="32"/>
          <w:u w:val="none"/>
          <w:lang w:val="en-US" w:eastAsia="zh-CN"/>
        </w:rPr>
        <w:t>多</w:t>
      </w:r>
      <w:r>
        <w:rPr>
          <w:rFonts w:hint="eastAsia" w:ascii="仿宋_GB2312" w:hAnsi="仿宋_GB2312" w:eastAsia="仿宋_GB2312" w:cs="仿宋_GB2312"/>
          <w:color w:val="auto"/>
          <w:sz w:val="32"/>
          <w:szCs w:val="32"/>
          <w:u w:val="none"/>
        </w:rPr>
        <w:t>学科汇聚和人才</w:t>
      </w:r>
      <w:r>
        <w:rPr>
          <w:rFonts w:hint="eastAsia" w:ascii="仿宋_GB2312" w:hAnsi="仿宋_GB2312" w:eastAsia="仿宋_GB2312" w:cs="仿宋_GB2312"/>
          <w:color w:val="auto"/>
          <w:sz w:val="32"/>
          <w:szCs w:val="32"/>
          <w:u w:val="none"/>
          <w:lang w:val="en-US" w:eastAsia="zh-CN"/>
        </w:rPr>
        <w:t>协同</w:t>
      </w:r>
      <w:r>
        <w:rPr>
          <w:rFonts w:hint="eastAsia" w:ascii="仿宋_GB2312" w:hAnsi="仿宋_GB2312" w:eastAsia="仿宋_GB2312" w:cs="仿宋_GB2312"/>
          <w:color w:val="auto"/>
          <w:sz w:val="32"/>
          <w:szCs w:val="32"/>
          <w:u w:val="none"/>
        </w:rPr>
        <w:t>发展。</w:t>
      </w:r>
    </w:p>
    <w:p w14:paraId="2B279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u w:val="none"/>
          <w:lang w:val="en-US" w:eastAsia="zh-CN"/>
        </w:rPr>
      </w:pPr>
      <w:r>
        <w:rPr>
          <w:rFonts w:hint="eastAsia" w:ascii="楷体" w:hAnsi="楷体" w:eastAsia="楷体" w:cs="楷体"/>
          <w:b/>
          <w:bCs/>
          <w:color w:val="000000"/>
          <w:sz w:val="32"/>
          <w:szCs w:val="32"/>
          <w:u w:val="none"/>
          <w:lang w:val="en-US" w:eastAsia="zh-CN"/>
        </w:rPr>
        <w:t>20.搭建人才队伍联动平台。</w:t>
      </w:r>
      <w:r>
        <w:rPr>
          <w:rFonts w:hint="eastAsia" w:ascii="仿宋_GB2312" w:hAnsi="仿宋_GB2312" w:eastAsia="仿宋_GB2312" w:cs="仿宋_GB2312"/>
          <w:color w:val="auto"/>
          <w:sz w:val="32"/>
          <w:szCs w:val="32"/>
          <w:u w:val="none"/>
          <w:lang w:val="en-US" w:eastAsia="zh-CN"/>
        </w:rPr>
        <w:t>实施“人才+”联动计划，深化教学辅助队伍、技术转移转化队伍、管理队伍、辅导员队伍等体系化建设，强化人才在教育教学、科研创新、成果转化、学科建设、开放合作、院校治理等各项办学业务中的核心地位，推动高层次人才主动培育德才兼备的时代新人、主动在学科建设中发挥更大作用、主动开展引领性科技创新和技术转移转化、主动参与推进学校治理体系和治理能力现代化建设。</w:t>
      </w:r>
    </w:p>
    <w:p w14:paraId="729CB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u w:val="none"/>
          <w:lang w:eastAsia="zh-CN"/>
        </w:rPr>
      </w:pPr>
      <w:r>
        <w:rPr>
          <w:rFonts w:hint="eastAsia" w:ascii="黑体" w:hAnsi="黑体" w:eastAsia="黑体" w:cs="黑体"/>
          <w:b w:val="0"/>
          <w:bCs w:val="0"/>
          <w:color w:val="000000"/>
          <w:sz w:val="32"/>
          <w:szCs w:val="32"/>
          <w:u w:val="none"/>
          <w:lang w:eastAsia="zh-CN"/>
        </w:rPr>
        <w:t>七、强化工作保障机制，共绘</w:t>
      </w:r>
      <w:r>
        <w:rPr>
          <w:rFonts w:hint="eastAsia" w:ascii="黑体" w:hAnsi="黑体" w:eastAsia="黑体" w:cs="黑体"/>
          <w:b w:val="0"/>
          <w:bCs w:val="0"/>
          <w:color w:val="000000"/>
          <w:sz w:val="32"/>
          <w:szCs w:val="32"/>
          <w:u w:val="none"/>
          <w:lang w:val="en-US" w:eastAsia="zh-CN"/>
        </w:rPr>
        <w:t>重才</w:t>
      </w:r>
      <w:r>
        <w:rPr>
          <w:rFonts w:hint="eastAsia" w:ascii="黑体" w:hAnsi="黑体" w:eastAsia="黑体" w:cs="黑体"/>
          <w:b w:val="0"/>
          <w:bCs w:val="0"/>
          <w:color w:val="000000"/>
          <w:sz w:val="32"/>
          <w:szCs w:val="32"/>
          <w:u w:val="none"/>
          <w:lang w:eastAsia="zh-CN"/>
        </w:rPr>
        <w:t>爱才同心圆</w:t>
      </w:r>
    </w:p>
    <w:p w14:paraId="2C338A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u w:val="none"/>
        </w:rPr>
      </w:pPr>
      <w:r>
        <w:rPr>
          <w:rFonts w:hint="eastAsia" w:ascii="楷体" w:hAnsi="楷体" w:eastAsia="楷体" w:cs="楷体"/>
          <w:b/>
          <w:bCs/>
          <w:color w:val="000000"/>
          <w:sz w:val="32"/>
          <w:szCs w:val="32"/>
          <w:u w:val="none"/>
          <w:lang w:val="en-US" w:eastAsia="zh-CN"/>
        </w:rPr>
        <w:t>21.强化思想组织保障。</w:t>
      </w:r>
      <w:r>
        <w:rPr>
          <w:rFonts w:hint="eastAsia" w:ascii="仿宋_GB2312" w:hAnsi="仿宋_GB2312" w:eastAsia="仿宋_GB2312" w:cs="仿宋_GB2312"/>
          <w:color w:val="000000"/>
          <w:sz w:val="32"/>
          <w:szCs w:val="32"/>
          <w:u w:val="none"/>
        </w:rPr>
        <w:t>牢固树立“人才资源是第一资源”的理念，将人才工作作为学校工作的重中之重，统一思想，凝聚共识，为进一步加强</w:t>
      </w:r>
      <w:r>
        <w:rPr>
          <w:rFonts w:hint="eastAsia" w:ascii="仿宋_GB2312" w:hAnsi="仿宋_GB2312" w:eastAsia="仿宋_GB2312" w:cs="仿宋_GB2312"/>
          <w:color w:val="000000"/>
          <w:sz w:val="32"/>
          <w:szCs w:val="32"/>
          <w:u w:val="none"/>
          <w:lang w:eastAsia="zh-CN"/>
        </w:rPr>
        <w:t>新时代人才</w:t>
      </w:r>
      <w:r>
        <w:rPr>
          <w:rFonts w:hint="eastAsia" w:ascii="仿宋_GB2312" w:hAnsi="仿宋_GB2312" w:eastAsia="仿宋_GB2312" w:cs="仿宋_GB2312"/>
          <w:color w:val="000000"/>
          <w:sz w:val="32"/>
          <w:szCs w:val="32"/>
          <w:u w:val="none"/>
        </w:rPr>
        <w:t>队伍建设提供坚实的思想保障。加强统筹谋划</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增强做好人才工作的政治自觉、思想自觉、行动自觉。各</w:t>
      </w:r>
      <w:r>
        <w:rPr>
          <w:rFonts w:hint="eastAsia" w:ascii="仿宋_GB2312" w:hAnsi="仿宋_GB2312" w:eastAsia="仿宋_GB2312" w:cs="仿宋_GB2312"/>
          <w:color w:val="000000"/>
          <w:sz w:val="32"/>
          <w:szCs w:val="32"/>
          <w:u w:val="none"/>
          <w:lang w:val="en-US" w:eastAsia="zh-CN"/>
        </w:rPr>
        <w:t>单位</w:t>
      </w:r>
      <w:r>
        <w:rPr>
          <w:rFonts w:hint="eastAsia" w:ascii="仿宋_GB2312" w:hAnsi="仿宋_GB2312" w:eastAsia="仿宋_GB2312" w:cs="仿宋_GB2312"/>
          <w:color w:val="000000"/>
          <w:sz w:val="32"/>
          <w:szCs w:val="32"/>
          <w:u w:val="none"/>
        </w:rPr>
        <w:t>要结合实际将意见转化为具体工作举措，明确任务分工，加大工作力度，健全工作机制，形成齐抓共管的工作格局。</w:t>
      </w:r>
    </w:p>
    <w:p w14:paraId="640479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u w:val="none"/>
        </w:rPr>
      </w:pPr>
      <w:r>
        <w:rPr>
          <w:rFonts w:hint="eastAsia" w:ascii="楷体" w:hAnsi="楷体" w:eastAsia="楷体" w:cs="楷体"/>
          <w:b/>
          <w:bCs/>
          <w:color w:val="000000"/>
          <w:sz w:val="32"/>
          <w:szCs w:val="32"/>
          <w:u w:val="none"/>
          <w:lang w:val="en-US" w:eastAsia="zh-CN"/>
        </w:rPr>
        <w:t>22.落实经费投入保障。</w:t>
      </w:r>
      <w:r>
        <w:rPr>
          <w:rFonts w:hint="eastAsia" w:ascii="仿宋_GB2312" w:hAnsi="仿宋_GB2312" w:eastAsia="仿宋_GB2312" w:cs="仿宋_GB2312"/>
          <w:color w:val="000000"/>
          <w:sz w:val="32"/>
          <w:szCs w:val="32"/>
          <w:u w:val="none"/>
        </w:rPr>
        <w:t>校级财政</w:t>
      </w:r>
      <w:r>
        <w:rPr>
          <w:rFonts w:hint="eastAsia" w:ascii="仿宋_GB2312" w:hAnsi="仿宋_GB2312" w:eastAsia="仿宋_GB2312" w:cs="仿宋_GB2312"/>
          <w:color w:val="000000"/>
          <w:sz w:val="32"/>
          <w:szCs w:val="32"/>
          <w:u w:val="none"/>
          <w:lang w:eastAsia="zh-CN"/>
        </w:rPr>
        <w:t>优先保障</w:t>
      </w:r>
      <w:r>
        <w:rPr>
          <w:rFonts w:hint="eastAsia" w:ascii="仿宋_GB2312" w:hAnsi="仿宋_GB2312" w:eastAsia="仿宋_GB2312" w:cs="仿宋_GB2312"/>
          <w:color w:val="000000"/>
          <w:sz w:val="32"/>
          <w:szCs w:val="32"/>
          <w:u w:val="none"/>
          <w:lang w:val="en-US" w:eastAsia="zh-CN"/>
        </w:rPr>
        <w:t>对人才队伍建设的投入，逐步</w:t>
      </w:r>
      <w:r>
        <w:rPr>
          <w:rFonts w:hint="eastAsia" w:ascii="仿宋_GB2312" w:hAnsi="仿宋_GB2312" w:eastAsia="仿宋_GB2312" w:cs="仿宋_GB2312"/>
          <w:color w:val="000000"/>
          <w:sz w:val="32"/>
          <w:szCs w:val="32"/>
          <w:u w:val="none"/>
        </w:rPr>
        <w:t>建立财政核拨为主、社会广泛参与、校院共同承担的多元化人才投入机制，按照“重点保证、兼顾公平”的原则优化资源配置。</w:t>
      </w:r>
      <w:r>
        <w:rPr>
          <w:rFonts w:hint="eastAsia" w:ascii="仿宋_GB2312" w:hAnsi="仿宋_GB2312" w:eastAsia="仿宋_GB2312" w:cs="仿宋_GB2312"/>
          <w:color w:val="000000"/>
          <w:sz w:val="32"/>
          <w:szCs w:val="32"/>
          <w:u w:val="none"/>
          <w:lang w:val="en-US" w:eastAsia="zh-CN"/>
        </w:rPr>
        <w:t>严格落实人才经费监管制度，规范经费使用，提高资金使用效益。</w:t>
      </w:r>
    </w:p>
    <w:p w14:paraId="22C73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i w:val="0"/>
          <w:iCs w:val="0"/>
          <w:color w:val="000000"/>
          <w:kern w:val="2"/>
          <w:sz w:val="32"/>
          <w:szCs w:val="32"/>
          <w:highlight w:val="none"/>
          <w:u w:val="none"/>
          <w:vertAlign w:val="baseline"/>
          <w:lang w:val="en-US" w:eastAsia="zh-CN" w:bidi="ar-SA"/>
        </w:rPr>
      </w:pPr>
      <w:r>
        <w:rPr>
          <w:rFonts w:hint="default" w:ascii="楷体" w:hAnsi="楷体" w:eastAsia="楷体" w:cs="楷体"/>
          <w:b/>
          <w:bCs/>
          <w:color w:val="000000"/>
          <w:sz w:val="32"/>
          <w:szCs w:val="32"/>
          <w:u w:val="none"/>
          <w:lang w:val="en-US" w:eastAsia="zh-CN"/>
        </w:rPr>
        <w:t>2</w:t>
      </w:r>
      <w:r>
        <w:rPr>
          <w:rFonts w:hint="eastAsia" w:ascii="楷体" w:hAnsi="楷体" w:eastAsia="楷体" w:cs="楷体"/>
          <w:b/>
          <w:bCs/>
          <w:color w:val="000000"/>
          <w:sz w:val="32"/>
          <w:szCs w:val="32"/>
          <w:u w:val="none"/>
          <w:lang w:val="en-US" w:eastAsia="zh-CN"/>
        </w:rPr>
        <w:t>3</w:t>
      </w:r>
      <w:r>
        <w:rPr>
          <w:rFonts w:hint="default" w:ascii="楷体" w:hAnsi="楷体" w:eastAsia="楷体" w:cs="楷体"/>
          <w:b/>
          <w:bCs/>
          <w:color w:val="000000"/>
          <w:sz w:val="32"/>
          <w:szCs w:val="32"/>
          <w:u w:val="none"/>
          <w:lang w:val="en-US" w:eastAsia="zh-CN"/>
        </w:rPr>
        <w:t>.优化人才服务保障。</w:t>
      </w:r>
      <w:r>
        <w:rPr>
          <w:rFonts w:hint="default" w:ascii="仿宋_GB2312" w:hAnsi="仿宋_GB2312" w:eastAsia="仿宋_GB2312" w:cs="仿宋_GB2312"/>
          <w:b w:val="0"/>
          <w:bCs w:val="0"/>
          <w:i w:val="0"/>
          <w:iCs w:val="0"/>
          <w:color w:val="000000"/>
          <w:kern w:val="2"/>
          <w:sz w:val="32"/>
          <w:szCs w:val="32"/>
          <w:highlight w:val="none"/>
          <w:u w:val="none"/>
          <w:vertAlign w:val="baseline"/>
          <w:lang w:val="en-US" w:eastAsia="zh-CN" w:bidi="ar-SA"/>
        </w:rPr>
        <w:t>深入开展尊师、惠师、优师服务行动，</w:t>
      </w:r>
      <w:r>
        <w:rPr>
          <w:rFonts w:hint="eastAsia" w:ascii="仿宋_GB2312" w:hAnsi="仿宋_GB2312" w:eastAsia="仿宋_GB2312" w:cs="仿宋_GB2312"/>
          <w:b w:val="0"/>
          <w:bCs w:val="0"/>
          <w:i w:val="0"/>
          <w:iCs w:val="0"/>
          <w:color w:val="000000"/>
          <w:kern w:val="2"/>
          <w:sz w:val="32"/>
          <w:szCs w:val="32"/>
          <w:highlight w:val="none"/>
          <w:u w:val="none"/>
          <w:vertAlign w:val="baseline"/>
          <w:lang w:val="en-US" w:eastAsia="zh-CN" w:bidi="ar-SA"/>
        </w:rPr>
        <w:t>定期</w:t>
      </w:r>
      <w:r>
        <w:rPr>
          <w:rFonts w:hint="default" w:ascii="仿宋_GB2312" w:hAnsi="仿宋_GB2312" w:eastAsia="仿宋_GB2312" w:cs="仿宋_GB2312"/>
          <w:b w:val="0"/>
          <w:bCs w:val="0"/>
          <w:i w:val="0"/>
          <w:iCs w:val="0"/>
          <w:color w:val="000000"/>
          <w:kern w:val="2"/>
          <w:sz w:val="32"/>
          <w:szCs w:val="32"/>
          <w:highlight w:val="none"/>
          <w:u w:val="none"/>
          <w:vertAlign w:val="baseline"/>
          <w:lang w:val="en-US" w:eastAsia="zh-CN" w:bidi="ar-SA"/>
        </w:rPr>
        <w:t>开展高层次人才午餐会、教科研沙龙、节日慰问等人才服务活动，编印《教师服务手册》，建设“高层次人才之家”，打造跨学科人才社区，畅通人才服务绿色通道。成立人才服务协调工作专班，落实人才待遇、子</w:t>
      </w:r>
      <w:r>
        <w:rPr>
          <w:rFonts w:hint="default" w:ascii="仿宋_GB2312" w:hAnsi="仿宋_GB2312" w:eastAsia="仿宋_GB2312" w:cs="仿宋_GB2312"/>
          <w:b w:val="0"/>
          <w:bCs w:val="0"/>
          <w:i w:val="0"/>
          <w:iCs w:val="0"/>
          <w:color w:val="auto"/>
          <w:kern w:val="2"/>
          <w:sz w:val="32"/>
          <w:szCs w:val="32"/>
          <w:highlight w:val="none"/>
          <w:u w:val="none"/>
          <w:vertAlign w:val="baseline"/>
          <w:lang w:val="en-US" w:eastAsia="zh-CN" w:bidi="ar-SA"/>
        </w:rPr>
        <w:t>女教育、配偶工作、医疗养老、实验用房、研究生招生等政策，为人才心无旁骛做业务创造良好条件。实施“泉师欢迎您”“泉师祝贺您”“泉师感谢您”等暖心工程，着力营造重才爱才</w:t>
      </w:r>
      <w:r>
        <w:rPr>
          <w:rFonts w:hint="eastAsia" w:ascii="仿宋_GB2312" w:hAnsi="仿宋_GB2312" w:eastAsia="仿宋_GB2312" w:cs="仿宋_GB2312"/>
          <w:color w:val="000000"/>
          <w:sz w:val="32"/>
          <w:szCs w:val="32"/>
          <w:u w:val="none"/>
        </w:rPr>
        <w:t>敬才</w:t>
      </w:r>
      <w:r>
        <w:rPr>
          <w:rFonts w:hint="default" w:ascii="仿宋_GB2312" w:hAnsi="仿宋_GB2312" w:eastAsia="仿宋_GB2312" w:cs="仿宋_GB2312"/>
          <w:b w:val="0"/>
          <w:bCs w:val="0"/>
          <w:i w:val="0"/>
          <w:iCs w:val="0"/>
          <w:color w:val="auto"/>
          <w:kern w:val="2"/>
          <w:sz w:val="32"/>
          <w:szCs w:val="32"/>
          <w:highlight w:val="none"/>
          <w:u w:val="none"/>
          <w:vertAlign w:val="baseline"/>
          <w:lang w:val="en-US" w:eastAsia="zh-CN" w:bidi="ar-SA"/>
        </w:rPr>
        <w:t>的文化氛围。</w:t>
      </w:r>
    </w:p>
    <w:p w14:paraId="2663A1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sz w:val="32"/>
          <w:szCs w:val="32"/>
          <w:u w:val="none"/>
          <w:lang w:val="en-US" w:eastAsia="zh-CN"/>
        </w:rPr>
      </w:pPr>
      <w:r>
        <w:rPr>
          <w:rFonts w:hint="eastAsia" w:ascii="楷体" w:hAnsi="楷体" w:eastAsia="楷体" w:cs="楷体"/>
          <w:b/>
          <w:bCs/>
          <w:color w:val="000000"/>
          <w:sz w:val="32"/>
          <w:szCs w:val="32"/>
          <w:u w:val="none"/>
          <w:lang w:val="en-US" w:eastAsia="zh-CN"/>
        </w:rPr>
        <w:t>24.抓实制度环境保障。</w:t>
      </w:r>
      <w:r>
        <w:rPr>
          <w:rFonts w:hint="eastAsia" w:ascii="仿宋_GB2312" w:hAnsi="仿宋_GB2312" w:eastAsia="仿宋_GB2312" w:cs="仿宋_GB2312"/>
          <w:color w:val="000000"/>
          <w:sz w:val="32"/>
          <w:szCs w:val="32"/>
          <w:u w:val="none"/>
        </w:rPr>
        <w:t>聚焦引进培养、使用评价、分配激励等重点环节，突出创新机制、构建平台、优化环境、激发活力，促进人才队伍建设与学科建设、教学改革、科技开发、创新创业、社会服务等有机衔接。</w:t>
      </w:r>
      <w:r>
        <w:rPr>
          <w:rFonts w:hint="default" w:ascii="仿宋_GB2312" w:hAnsi="仿宋_GB2312" w:eastAsia="仿宋_GB2312" w:cs="仿宋_GB2312"/>
          <w:b w:val="0"/>
          <w:bCs w:val="0"/>
          <w:i w:val="0"/>
          <w:iCs w:val="0"/>
          <w:color w:val="000000"/>
          <w:kern w:val="2"/>
          <w:sz w:val="32"/>
          <w:szCs w:val="32"/>
          <w:highlight w:val="none"/>
          <w:u w:val="none"/>
          <w:vertAlign w:val="baseline"/>
          <w:lang w:val="en-US" w:eastAsia="zh-CN" w:bidi="ar-SA"/>
        </w:rPr>
        <w:t>营造鼓励大胆创新、勇于创新、包容创新的良好氛围，对人才不求全责备，不论资排辈，让有真才实学的人才英雄有用武之地。</w:t>
      </w:r>
      <w:bookmarkStart w:id="0" w:name="_GoBack"/>
      <w:bookmarkEnd w:id="0"/>
    </w:p>
    <w:p w14:paraId="03AEFC11">
      <w:pPr>
        <w:keepNext w:val="0"/>
        <w:keepLines w:val="0"/>
        <w:pageBreakBefore w:val="0"/>
        <w:widowControl/>
        <w:kinsoku/>
        <w:wordWrap/>
        <w:overflowPunct/>
        <w:topLinePunct w:val="0"/>
        <w:autoSpaceDE/>
        <w:autoSpaceDN/>
        <w:bidi w:val="0"/>
        <w:adjustRightInd/>
        <w:snapToGrid/>
        <w:spacing w:after="313" w:afterLines="100" w:line="60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14:paraId="519ACADE">
      <w:pPr>
        <w:widowControl w:val="0"/>
        <w:spacing w:line="440" w:lineRule="exact"/>
        <w:ind w:firstLine="0" w:firstLineChars="0"/>
        <w:jc w:val="both"/>
        <w:rPr>
          <w:rFonts w:hint="eastAsia" w:ascii="仿宋_GB2312" w:hAnsi="Times New Roman" w:eastAsia="仿宋_GB2312" w:cs="Times New Roman"/>
          <w:b w:val="0"/>
          <w:bCs w:val="0"/>
          <w:color w:val="000000" w:themeColor="text1"/>
          <w:kern w:val="2"/>
          <w:sz w:val="28"/>
          <w:szCs w:val="28"/>
          <w:u w:val="single"/>
          <w:lang w:val="en-US" w:eastAsia="zh-CN" w:bidi="ar-SA"/>
          <w14:textFill>
            <w14:solidFill>
              <w14:schemeClr w14:val="tx1"/>
            </w14:solidFill>
          </w14:textFill>
        </w:rPr>
      </w:pPr>
      <w:r>
        <w:rPr>
          <w:rFonts w:hint="eastAsia" w:ascii="仿宋_GB2312" w:hAnsi="Times New Roman" w:eastAsia="仿宋_GB2312" w:cs="Times New Roman"/>
          <w:b/>
          <w:bCs w:val="0"/>
          <w:color w:val="000000" w:themeColor="text1"/>
          <w:kern w:val="2"/>
          <w:sz w:val="28"/>
          <w:szCs w:val="22"/>
          <w:u w:val="thick"/>
          <w:lang w:val="en-US" w:eastAsia="zh-CN" w:bidi="ar-SA"/>
          <w14:textFill>
            <w14:solidFill>
              <w14:schemeClr w14:val="tx1"/>
            </w14:solidFill>
          </w14:textFill>
        </w:rPr>
        <w:t xml:space="preserve">                                                               </w:t>
      </w:r>
    </w:p>
    <w:p w14:paraId="466F674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val="0"/>
          <w:bCs w:val="0"/>
          <w:color w:val="000000" w:themeColor="text1"/>
          <w:kern w:val="2"/>
          <w:position w:val="10"/>
          <w:sz w:val="28"/>
          <w:szCs w:val="28"/>
          <w:u w:val="thick"/>
          <w:lang w:val="en-US" w:eastAsia="zh-CN" w:bidi="ar-SA"/>
          <w14:textFill>
            <w14:solidFill>
              <w14:schemeClr w14:val="tx1"/>
            </w14:solidFill>
          </w14:textFill>
        </w:rPr>
        <w:t xml:space="preserve">  泉州师范学院党政办公室                 2025年12月31日印发 </w:t>
      </w:r>
      <w:r>
        <w:rPr>
          <w:rFonts w:hint="eastAsia" w:ascii="仿宋_GB2312" w:hAnsi="Times New Roman" w:eastAsia="仿宋_GB2312" w:cs="Times New Roman"/>
          <w:b w:val="0"/>
          <w:bCs w:val="0"/>
          <w:color w:val="000000" w:themeColor="text1"/>
          <w:kern w:val="2"/>
          <w:sz w:val="28"/>
          <w:szCs w:val="28"/>
          <w:u w:val="thick"/>
          <w:lang w:val="en-US" w:eastAsia="zh-CN" w:bidi="ar-SA"/>
          <w14:textFill>
            <w14:solidFill>
              <w14:schemeClr w14:val="tx1"/>
            </w14:solidFill>
          </w14:textFill>
        </w:rPr>
        <w:t xml:space="preserve">                </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1F8C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35D9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335D9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ZTAyNzMxOTBkZWFkODkyNTdjNGY3NjAzNWFkMGEifQ=="/>
  </w:docVars>
  <w:rsids>
    <w:rsidRoot w:val="33804F38"/>
    <w:rsid w:val="00DE4630"/>
    <w:rsid w:val="023870D5"/>
    <w:rsid w:val="046A5308"/>
    <w:rsid w:val="050F04FA"/>
    <w:rsid w:val="08145182"/>
    <w:rsid w:val="085D58FF"/>
    <w:rsid w:val="0863145F"/>
    <w:rsid w:val="08AB2430"/>
    <w:rsid w:val="0913264A"/>
    <w:rsid w:val="09191442"/>
    <w:rsid w:val="095303C2"/>
    <w:rsid w:val="0A173A74"/>
    <w:rsid w:val="0ABA0FCF"/>
    <w:rsid w:val="0BA8707A"/>
    <w:rsid w:val="0C555783"/>
    <w:rsid w:val="0D0C3638"/>
    <w:rsid w:val="0D233138"/>
    <w:rsid w:val="0DEF0EBF"/>
    <w:rsid w:val="0DFF4F4B"/>
    <w:rsid w:val="0E3A2940"/>
    <w:rsid w:val="0E947D89"/>
    <w:rsid w:val="0EB2798B"/>
    <w:rsid w:val="0F176E65"/>
    <w:rsid w:val="10613C9B"/>
    <w:rsid w:val="11BF6ECB"/>
    <w:rsid w:val="11DD37F5"/>
    <w:rsid w:val="11E459B1"/>
    <w:rsid w:val="130A0018"/>
    <w:rsid w:val="13433B2C"/>
    <w:rsid w:val="134653E9"/>
    <w:rsid w:val="13915D95"/>
    <w:rsid w:val="14047C99"/>
    <w:rsid w:val="143A6CDD"/>
    <w:rsid w:val="14926B19"/>
    <w:rsid w:val="14AE11C9"/>
    <w:rsid w:val="16924BAE"/>
    <w:rsid w:val="18B90B18"/>
    <w:rsid w:val="19422A47"/>
    <w:rsid w:val="198A7DBF"/>
    <w:rsid w:val="1A2B77F4"/>
    <w:rsid w:val="1AFD6C8A"/>
    <w:rsid w:val="1B3F107D"/>
    <w:rsid w:val="1BF96E18"/>
    <w:rsid w:val="1C5B5A42"/>
    <w:rsid w:val="1CBA6C0D"/>
    <w:rsid w:val="1E562965"/>
    <w:rsid w:val="1FC009DE"/>
    <w:rsid w:val="1FC67118"/>
    <w:rsid w:val="21A460DD"/>
    <w:rsid w:val="21C11884"/>
    <w:rsid w:val="21E71986"/>
    <w:rsid w:val="21F726B1"/>
    <w:rsid w:val="223374E5"/>
    <w:rsid w:val="22BE765C"/>
    <w:rsid w:val="23965D8C"/>
    <w:rsid w:val="23F8626D"/>
    <w:rsid w:val="247B6924"/>
    <w:rsid w:val="24B73F58"/>
    <w:rsid w:val="24DC16EA"/>
    <w:rsid w:val="24DC5243"/>
    <w:rsid w:val="257A4300"/>
    <w:rsid w:val="260C2ECE"/>
    <w:rsid w:val="266D4CF0"/>
    <w:rsid w:val="26B648E9"/>
    <w:rsid w:val="27280C17"/>
    <w:rsid w:val="295F1662"/>
    <w:rsid w:val="29A529F3"/>
    <w:rsid w:val="2A077209"/>
    <w:rsid w:val="2A10072A"/>
    <w:rsid w:val="2AF004CC"/>
    <w:rsid w:val="2B514BE0"/>
    <w:rsid w:val="2B755432"/>
    <w:rsid w:val="2C0A4D8F"/>
    <w:rsid w:val="2E47051C"/>
    <w:rsid w:val="2E5328D6"/>
    <w:rsid w:val="2F927775"/>
    <w:rsid w:val="2FD44032"/>
    <w:rsid w:val="303B69F6"/>
    <w:rsid w:val="30AE3EC3"/>
    <w:rsid w:val="32556074"/>
    <w:rsid w:val="325E4D95"/>
    <w:rsid w:val="33804F38"/>
    <w:rsid w:val="339D1EED"/>
    <w:rsid w:val="33B91574"/>
    <w:rsid w:val="35136F7E"/>
    <w:rsid w:val="36615950"/>
    <w:rsid w:val="36F744DB"/>
    <w:rsid w:val="37031A7D"/>
    <w:rsid w:val="37576944"/>
    <w:rsid w:val="37DC0EC1"/>
    <w:rsid w:val="39BC7800"/>
    <w:rsid w:val="3A103EB8"/>
    <w:rsid w:val="3A704957"/>
    <w:rsid w:val="3BAA5616"/>
    <w:rsid w:val="3C4939E6"/>
    <w:rsid w:val="3DB35286"/>
    <w:rsid w:val="3EA061FB"/>
    <w:rsid w:val="40ED0AAF"/>
    <w:rsid w:val="42AB29D0"/>
    <w:rsid w:val="43A01E09"/>
    <w:rsid w:val="43D321DE"/>
    <w:rsid w:val="44354DBD"/>
    <w:rsid w:val="45495EFD"/>
    <w:rsid w:val="457A7B5D"/>
    <w:rsid w:val="45AC718B"/>
    <w:rsid w:val="466E624B"/>
    <w:rsid w:val="468E773A"/>
    <w:rsid w:val="4A427163"/>
    <w:rsid w:val="4C8D09A0"/>
    <w:rsid w:val="4CE70AA9"/>
    <w:rsid w:val="4DE86027"/>
    <w:rsid w:val="4F4365FF"/>
    <w:rsid w:val="502913D8"/>
    <w:rsid w:val="50577CF3"/>
    <w:rsid w:val="51491D32"/>
    <w:rsid w:val="52383B54"/>
    <w:rsid w:val="52390930"/>
    <w:rsid w:val="545C3B2A"/>
    <w:rsid w:val="551F124C"/>
    <w:rsid w:val="56A8053C"/>
    <w:rsid w:val="571B7CCD"/>
    <w:rsid w:val="579B705F"/>
    <w:rsid w:val="57EA58F1"/>
    <w:rsid w:val="581E297E"/>
    <w:rsid w:val="58A67A6A"/>
    <w:rsid w:val="59E069FA"/>
    <w:rsid w:val="5A2B0BCE"/>
    <w:rsid w:val="5AE6692C"/>
    <w:rsid w:val="5CBF2199"/>
    <w:rsid w:val="5DCD7847"/>
    <w:rsid w:val="5DE5309F"/>
    <w:rsid w:val="5E915AFD"/>
    <w:rsid w:val="5F20293E"/>
    <w:rsid w:val="5FCD1D80"/>
    <w:rsid w:val="5FE377F5"/>
    <w:rsid w:val="600F3114"/>
    <w:rsid w:val="61442516"/>
    <w:rsid w:val="61736957"/>
    <w:rsid w:val="629801E1"/>
    <w:rsid w:val="62B9483E"/>
    <w:rsid w:val="63DD7F49"/>
    <w:rsid w:val="65882177"/>
    <w:rsid w:val="669730E8"/>
    <w:rsid w:val="67265632"/>
    <w:rsid w:val="67C55173"/>
    <w:rsid w:val="680E5E37"/>
    <w:rsid w:val="68452603"/>
    <w:rsid w:val="686E4BB7"/>
    <w:rsid w:val="692D388F"/>
    <w:rsid w:val="6B1E7934"/>
    <w:rsid w:val="6B567AB7"/>
    <w:rsid w:val="6BA936A1"/>
    <w:rsid w:val="6C387A6E"/>
    <w:rsid w:val="6C43534E"/>
    <w:rsid w:val="6C6972D4"/>
    <w:rsid w:val="6E72199D"/>
    <w:rsid w:val="6EB9346B"/>
    <w:rsid w:val="6F573414"/>
    <w:rsid w:val="718523E2"/>
    <w:rsid w:val="721750DD"/>
    <w:rsid w:val="72B6534E"/>
    <w:rsid w:val="739E7864"/>
    <w:rsid w:val="742B4A65"/>
    <w:rsid w:val="76784489"/>
    <w:rsid w:val="77622259"/>
    <w:rsid w:val="77C90C27"/>
    <w:rsid w:val="77D777E8"/>
    <w:rsid w:val="787425F4"/>
    <w:rsid w:val="79085D73"/>
    <w:rsid w:val="793F73F3"/>
    <w:rsid w:val="7A916D47"/>
    <w:rsid w:val="7B0326A2"/>
    <w:rsid w:val="7C615BE3"/>
    <w:rsid w:val="7D8A0E59"/>
    <w:rsid w:val="7DF54524"/>
    <w:rsid w:val="7F3948E4"/>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Indent 2"/>
    <w:basedOn w:val="1"/>
    <w:autoRedefine/>
    <w:qFormat/>
    <w:uiPriority w:val="0"/>
    <w:pPr>
      <w:ind w:firstLine="562" w:firstLineChars="200"/>
    </w:pPr>
    <w:rPr>
      <w:rFonts w:ascii="Times New Roman" w:eastAsia="宋体"/>
      <w:b/>
      <w:bCs/>
      <w:sz w:val="28"/>
    </w:rPr>
  </w:style>
  <w:style w:type="paragraph" w:styleId="7">
    <w:name w:val="Balloon Text"/>
    <w:basedOn w:val="1"/>
    <w:autoRedefine/>
    <w:qFormat/>
    <w:uiPriority w:val="99"/>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rPr>
  </w:style>
  <w:style w:type="character" w:styleId="14">
    <w:name w:val="FollowedHyperlink"/>
    <w:basedOn w:val="12"/>
    <w:autoRedefine/>
    <w:qFormat/>
    <w:uiPriority w:val="0"/>
    <w:rPr>
      <w:color w:val="771CAA"/>
      <w:u w:val="none"/>
    </w:rPr>
  </w:style>
  <w:style w:type="character" w:styleId="15">
    <w:name w:val="Emphasis"/>
    <w:basedOn w:val="12"/>
    <w:autoRedefine/>
    <w:qFormat/>
    <w:uiPriority w:val="0"/>
    <w:rPr>
      <w:color w:val="F73131"/>
    </w:rPr>
  </w:style>
  <w:style w:type="character" w:styleId="16">
    <w:name w:val="Hyperlink"/>
    <w:basedOn w:val="12"/>
    <w:autoRedefine/>
    <w:qFormat/>
    <w:uiPriority w:val="0"/>
    <w:rPr>
      <w:color w:val="0000FF"/>
      <w:u w:val="single"/>
    </w:rPr>
  </w:style>
  <w:style w:type="character" w:styleId="17">
    <w:name w:val="HTML Cite"/>
    <w:basedOn w:val="12"/>
    <w:autoRedefine/>
    <w:qFormat/>
    <w:uiPriority w:val="0"/>
    <w:rPr>
      <w:color w:val="008000"/>
    </w:rPr>
  </w:style>
  <w:style w:type="character" w:customStyle="1" w:styleId="18">
    <w:name w:val="NormalCharacter"/>
    <w:autoRedefine/>
    <w:qFormat/>
    <w:uiPriority w:val="0"/>
  </w:style>
  <w:style w:type="character" w:customStyle="1" w:styleId="19">
    <w:name w:val="hover28"/>
    <w:basedOn w:val="12"/>
    <w:autoRedefine/>
    <w:qFormat/>
    <w:uiPriority w:val="0"/>
  </w:style>
  <w:style w:type="character" w:customStyle="1" w:styleId="20">
    <w:name w:val="hover29"/>
    <w:basedOn w:val="12"/>
    <w:autoRedefine/>
    <w:qFormat/>
    <w:uiPriority w:val="0"/>
    <w:rPr>
      <w:color w:val="315EFB"/>
    </w:rPr>
  </w:style>
  <w:style w:type="character" w:customStyle="1" w:styleId="21">
    <w:name w:val="hover30"/>
    <w:basedOn w:val="12"/>
    <w:autoRedefine/>
    <w:qFormat/>
    <w:uiPriority w:val="0"/>
    <w:rPr>
      <w:color w:val="315EFB"/>
    </w:rPr>
  </w:style>
  <w:style w:type="character" w:customStyle="1" w:styleId="22">
    <w:name w:val="c-icon27"/>
    <w:basedOn w:val="12"/>
    <w:autoRedefine/>
    <w:qFormat/>
    <w:uiPriority w:val="0"/>
  </w:style>
  <w:style w:type="character" w:customStyle="1" w:styleId="23">
    <w:name w:val="c-icon28"/>
    <w:basedOn w:val="12"/>
    <w:autoRedefine/>
    <w:qFormat/>
    <w:uiPriority w:val="0"/>
  </w:style>
  <w:style w:type="character" w:customStyle="1" w:styleId="24">
    <w:name w:val="hover25"/>
    <w:basedOn w:val="12"/>
    <w:autoRedefine/>
    <w:qFormat/>
    <w:uiPriority w:val="0"/>
    <w:rPr>
      <w:color w:val="315EFB"/>
    </w:rPr>
  </w:style>
  <w:style w:type="character" w:customStyle="1" w:styleId="25">
    <w:name w:val="hover26"/>
    <w:basedOn w:val="12"/>
    <w:autoRedefine/>
    <w:qFormat/>
    <w:uiPriority w:val="0"/>
  </w:style>
  <w:style w:type="character" w:customStyle="1" w:styleId="26">
    <w:name w:val="hover27"/>
    <w:basedOn w:val="12"/>
    <w:autoRedefine/>
    <w:qFormat/>
    <w:uiPriority w:val="0"/>
    <w:rPr>
      <w:color w:val="315EFB"/>
    </w:rPr>
  </w:style>
  <w:style w:type="character" w:customStyle="1" w:styleId="27">
    <w:name w:val="content-right_1thtn1"/>
    <w:basedOn w:val="12"/>
    <w:autoRedefine/>
    <w:qFormat/>
    <w:uiPriority w:val="0"/>
  </w:style>
  <w:style w:type="paragraph" w:customStyle="1" w:styleId="28">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9">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6416</Words>
  <Characters>6500</Characters>
  <Lines>0</Lines>
  <Paragraphs>0</Paragraphs>
  <TotalTime>3</TotalTime>
  <ScaleCrop>false</ScaleCrop>
  <LinksUpToDate>false</LinksUpToDate>
  <CharactersWithSpaces>6665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2023-05-07T03:00:00Z</dcterms:created>
  <dc:creator>Administrator</dc:creator>
  <cp:lastModifiedBy>王英文</cp:lastModifiedBy>
  <cp:lastPrinted>2026-03-13T02:07:43Z</cp:lastPrinted>
  <dcterms:modified xsi:type="dcterms:W3CDTF">2026-03-13T02:44:10Z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AE624F69C67E440B9AA413E1AD3C66BF_13</vt:lpwstr>
  </property>
  <property fmtid="{D5CDD505-2E9C-101B-9397-08002B2CF9AE}" pid="4" name="KSOTemplateDocerSaveRecord">
    <vt:lpwstr>eyJoZGlkIjoiOGJjZTAyNzMxOTBkZWFkODkyNTdjNGY3NjAzNWFkMGEiLCJ1c2VySWQiOiIyNDUzODE1NDkifQ==</vt:lpwstr>
  </property>
</Properties>
</file>