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eastAsia="宋体"/>
          <w:b w:val="0"/>
          <w:bCs/>
          <w:color w:val="auto"/>
          <w:sz w:val="24"/>
          <w:szCs w:val="24"/>
          <w:highlight w:val="none"/>
          <w:u w:val="single"/>
          <w:lang w:val="en-US" w:eastAsia="zh-CN"/>
        </w:rPr>
        <w:t xml:space="preserve">               MSXY2023001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403、407、408电脑教室家具采购项目</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5</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spacing w:before="0" w:after="0" w:line="360" w:lineRule="auto"/>
        <w:jc w:val="center"/>
        <w:rPr>
          <w:rFonts w:hint="eastAsia" w:ascii="宋体" w:hAnsi="宋体" w:eastAsia="宋体"/>
          <w:color w:val="auto"/>
          <w:sz w:val="36"/>
          <w:szCs w:val="36"/>
          <w:highlight w:val="none"/>
        </w:rPr>
      </w:pPr>
      <w:bookmarkStart w:id="0" w:name="_Toc26208"/>
      <w:bookmarkStart w:id="1" w:name="_Toc9763"/>
      <w:bookmarkStart w:id="2" w:name="_Toc10914"/>
      <w:bookmarkStart w:id="3" w:name="_Toc1822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222536"/>
      <w:bookmarkStart w:id="6" w:name="_Toc3785675"/>
      <w:bookmarkStart w:id="7" w:name="_Toc93397582"/>
      <w:bookmarkStart w:id="8" w:name="_Toc34703823"/>
      <w:bookmarkStart w:id="9" w:name="_Toc35068743"/>
      <w:bookmarkStart w:id="10" w:name="_Toc425276503"/>
      <w:bookmarkStart w:id="11" w:name="_Toc98731630"/>
      <w:bookmarkStart w:id="12" w:name="_Toc3785461"/>
      <w:bookmarkStart w:id="13" w:name="_Toc87857945"/>
      <w:bookmarkStart w:id="14" w:name="_Toc53570175"/>
      <w:bookmarkStart w:id="15" w:name="_Toc35742634"/>
      <w:bookmarkStart w:id="16" w:name="_Toc108257397"/>
      <w:bookmarkStart w:id="17" w:name="_Toc35622007"/>
      <w:bookmarkStart w:id="18" w:name="_Toc3785637"/>
      <w:bookmarkStart w:id="19" w:name="_Toc33953164"/>
      <w:bookmarkStart w:id="20" w:name="_Toc108257116"/>
      <w:bookmarkStart w:id="21" w:name="_Toc60130052"/>
      <w:bookmarkStart w:id="22" w:name="_Toc34745149"/>
      <w:bookmarkStart w:id="23" w:name="_Toc54513051"/>
      <w:bookmarkStart w:id="24" w:name="_Toc33775520"/>
      <w:bookmarkStart w:id="25" w:name="_Toc36146204"/>
      <w:bookmarkStart w:id="26" w:name="_Toc53335577"/>
      <w:bookmarkStart w:id="27" w:name="_Toc35599967"/>
      <w:bookmarkStart w:id="28" w:name="_Toc108260365"/>
      <w:bookmarkStart w:id="29" w:name="_Toc35107772"/>
      <w:bookmarkStart w:id="30" w:name="_Toc108257590"/>
      <w:bookmarkStart w:id="31" w:name="_Toc35941127"/>
      <w:bookmarkStart w:id="32" w:name="_Toc34789935"/>
      <w:bookmarkStart w:id="33" w:name="_Toc34664278"/>
      <w:bookmarkStart w:id="34" w:name="_Toc35071897"/>
      <w:bookmarkStart w:id="35" w:name="_Toc98672988"/>
      <w:bookmarkStart w:id="36" w:name="_Toc105389203"/>
      <w:bookmarkStart w:id="37" w:name="_Toc36123671"/>
      <w:bookmarkStart w:id="38" w:name="_Toc3785513"/>
      <w:bookmarkStart w:id="39" w:name="_Toc93397984"/>
      <w:bookmarkStart w:id="40" w:name="_Toc108257466"/>
      <w:bookmarkStart w:id="41" w:name="_Toc40761347"/>
      <w:r>
        <w:rPr>
          <w:rFonts w:hint="eastAsia" w:ascii="宋体" w:hAnsi="宋体"/>
          <w:i w:val="0"/>
          <w:iCs w:val="0"/>
          <w:color w:val="auto"/>
          <w:sz w:val="24"/>
          <w:szCs w:val="24"/>
          <w:highlight w:val="none"/>
          <w:u w:val="single"/>
          <w:lang w:val="en-US" w:eastAsia="zh-CN"/>
        </w:rPr>
        <w:t xml:space="preserve"> 泉州师范学院美术与设计学院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MSXY2023001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403、407、408电脑教室家具采购项目            </w:t>
      </w:r>
    </w:p>
    <w:p>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46420.00元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13469"/>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403、407、408电脑教室家具采购项目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46420.00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24</w:t>
      </w:r>
      <w:bookmarkStart w:id="102" w:name="_GoBack"/>
      <w:bookmarkEnd w:id="102"/>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美术与设计学院202</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罗俭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18965652679</w:t>
      </w:r>
      <w:r>
        <w:rPr>
          <w:rFonts w:hint="eastAsia" w:ascii="宋体" w:hAnsi="宋体" w:cs="宋体"/>
          <w:color w:val="auto"/>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pPr>
        <w:rPr>
          <w:rFonts w:hint="eastAsia"/>
          <w:lang w:val="en-US" w:eastAsia="zh-CN"/>
        </w:rPr>
      </w:pPr>
    </w:p>
    <w:bookmarkEnd w:id="47"/>
    <w:bookmarkEnd w:id="48"/>
    <w:bookmarkEnd w:id="49"/>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4"/>
        <w:numPr>
          <w:ilvl w:val="0"/>
          <w:numId w:val="1"/>
        </w:numPr>
        <w:spacing w:before="120" w:after="120" w:line="440" w:lineRule="exact"/>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pPr w:leftFromText="180" w:rightFromText="180" w:vertAnchor="text" w:horzAnchor="page" w:tblpX="401" w:tblpY="1758"/>
        <w:tblOverlap w:val="never"/>
        <w:tblW w:w="58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216"/>
        <w:gridCol w:w="4571"/>
        <w:gridCol w:w="2627"/>
        <w:gridCol w:w="685"/>
        <w:gridCol w:w="859"/>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531"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采购标的</w:t>
            </w:r>
          </w:p>
        </w:tc>
        <w:tc>
          <w:tcPr>
            <w:tcW w:w="1996"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规格参数</w:t>
            </w:r>
          </w:p>
        </w:tc>
        <w:tc>
          <w:tcPr>
            <w:tcW w:w="1147"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参考图片</w:t>
            </w:r>
          </w:p>
        </w:tc>
        <w:tc>
          <w:tcPr>
            <w:tcW w:w="299"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数量</w:t>
            </w:r>
          </w:p>
        </w:tc>
        <w:tc>
          <w:tcPr>
            <w:tcW w:w="375" w:type="pct"/>
          </w:tcPr>
          <w:p>
            <w:pPr>
              <w:widowControl/>
              <w:jc w:val="center"/>
              <w:rPr>
                <w:rFonts w:ascii="宋体" w:hAnsi="宋体" w:cs="宋体"/>
                <w:b/>
                <w:color w:val="000000"/>
                <w:kern w:val="0"/>
                <w:sz w:val="24"/>
              </w:rPr>
            </w:pPr>
            <w:r>
              <w:rPr>
                <w:rFonts w:hint="eastAsia" w:ascii="宋体" w:hAnsi="宋体" w:cs="宋体"/>
                <w:b/>
                <w:color w:val="000000"/>
                <w:kern w:val="0"/>
                <w:sz w:val="24"/>
              </w:rPr>
              <w:t>单价</w:t>
            </w:r>
          </w:p>
        </w:tc>
        <w:tc>
          <w:tcPr>
            <w:tcW w:w="430" w:type="pct"/>
          </w:tcPr>
          <w:p>
            <w:pPr>
              <w:widowControl/>
              <w:jc w:val="center"/>
              <w:rPr>
                <w:rFonts w:ascii="宋体" w:hAnsi="宋体" w:cs="宋体"/>
                <w:b/>
                <w:color w:val="000000"/>
                <w:kern w:val="0"/>
                <w:sz w:val="24"/>
              </w:rPr>
            </w:pPr>
            <w:r>
              <w:rPr>
                <w:rFonts w:hint="eastAsia" w:ascii="宋体" w:hAnsi="宋体" w:cs="宋体"/>
                <w:b/>
                <w:color w:val="000000"/>
                <w:kern w:val="0"/>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jc w:val="center"/>
              <w:rPr>
                <w:rFonts w:ascii="宋体" w:hAnsi="宋体" w:cs="宋体"/>
                <w:sz w:val="24"/>
              </w:rPr>
            </w:pPr>
            <w:r>
              <w:rPr>
                <w:rFonts w:hint="eastAsia" w:ascii="宋体" w:hAnsi="宋体" w:cs="宋体"/>
                <w:sz w:val="24"/>
              </w:rPr>
              <w:t>1</w:t>
            </w:r>
          </w:p>
        </w:tc>
        <w:tc>
          <w:tcPr>
            <w:tcW w:w="531" w:type="pct"/>
            <w:vAlign w:val="center"/>
          </w:tcPr>
          <w:p>
            <w:pPr>
              <w:jc w:val="center"/>
              <w:rPr>
                <w:rFonts w:ascii="宋体" w:hAnsi="宋体" w:cs="宋体"/>
                <w:sz w:val="24"/>
              </w:rPr>
            </w:pPr>
            <w:r>
              <w:rPr>
                <w:rFonts w:ascii="宋体" w:hAnsi="宋体" w:cs="宋体"/>
                <w:sz w:val="24"/>
              </w:rPr>
              <w:t>双人位电脑桌</w:t>
            </w:r>
          </w:p>
        </w:tc>
        <w:tc>
          <w:tcPr>
            <w:tcW w:w="1996" w:type="pct"/>
          </w:tcPr>
          <w:p>
            <w:pPr>
              <w:rPr>
                <w:rFonts w:asciiTheme="minorEastAsia" w:hAnsiTheme="minorEastAsia" w:eastAsiaTheme="minorEastAsia"/>
                <w:kern w:val="0"/>
                <w:sz w:val="24"/>
              </w:rPr>
            </w:pPr>
            <w:r>
              <w:rPr>
                <w:rFonts w:hint="eastAsia" w:asciiTheme="minorEastAsia" w:hAnsiTheme="minorEastAsia" w:eastAsiaTheme="minorEastAsia"/>
                <w:kern w:val="0"/>
                <w:sz w:val="24"/>
              </w:rPr>
              <w:t>规格：1400*600*750mm</w:t>
            </w:r>
          </w:p>
          <w:p>
            <w:pPr>
              <w:rPr>
                <w:rFonts w:asciiTheme="minorEastAsia" w:hAnsiTheme="minorEastAsia" w:eastAsiaTheme="minorEastAsia"/>
                <w:kern w:val="0"/>
                <w:sz w:val="24"/>
              </w:rPr>
            </w:pPr>
            <w:r>
              <w:rPr>
                <w:rFonts w:hint="eastAsia" w:asciiTheme="minorEastAsia" w:hAnsiTheme="minorEastAsia" w:eastAsiaTheme="minorEastAsia"/>
                <w:kern w:val="0"/>
                <w:sz w:val="24"/>
              </w:rPr>
              <w:t>1、桌面采用厚度≥25mm优质E1级</w:t>
            </w:r>
            <w:r>
              <w:rPr>
                <w:rFonts w:hint="eastAsia" w:ascii="宋体" w:hAnsi="宋体"/>
                <w:sz w:val="24"/>
              </w:rPr>
              <w:t>环保型高密度纤维板</w:t>
            </w:r>
            <w:r>
              <w:rPr>
                <w:rFonts w:hint="eastAsia" w:asciiTheme="minorEastAsia" w:hAnsiTheme="minorEastAsia" w:eastAsiaTheme="minorEastAsia"/>
                <w:kern w:val="0"/>
                <w:sz w:val="24"/>
              </w:rPr>
              <w:t>，双面贴三聚氰胺面，四周PVC封边，厚度≥1.5mm，桌面下方配有与桌面同材质的可推拉式键盘托，桌面和主机柜两侧合理开有走线孔，方便布线；</w:t>
            </w:r>
          </w:p>
          <w:p>
            <w:pPr>
              <w:rPr>
                <w:rFonts w:asciiTheme="minorEastAsia" w:hAnsiTheme="minorEastAsia" w:eastAsiaTheme="minorEastAsia"/>
                <w:kern w:val="0"/>
                <w:sz w:val="24"/>
              </w:rPr>
            </w:pPr>
            <w:r>
              <w:rPr>
                <w:rFonts w:hint="eastAsia" w:asciiTheme="minorEastAsia" w:hAnsiTheme="minorEastAsia" w:eastAsiaTheme="minorEastAsia"/>
                <w:kern w:val="0"/>
                <w:sz w:val="24"/>
              </w:rPr>
              <w:t>2、其他基材采用环保优质E1级</w:t>
            </w:r>
            <w:r>
              <w:rPr>
                <w:rFonts w:hint="eastAsia" w:ascii="宋体" w:hAnsi="宋体"/>
                <w:sz w:val="24"/>
              </w:rPr>
              <w:t>环保型高密度纤维板</w:t>
            </w:r>
            <w:r>
              <w:rPr>
                <w:rFonts w:hint="eastAsia" w:asciiTheme="minorEastAsia" w:hAnsiTheme="minorEastAsia" w:eastAsiaTheme="minorEastAsia"/>
                <w:kern w:val="0"/>
                <w:sz w:val="24"/>
              </w:rPr>
              <w:t>，双面贴三聚氰胺面，厚度≥18mm，四周PVC封边，厚度≥1.5mm；</w:t>
            </w:r>
          </w:p>
          <w:p>
            <w:pPr>
              <w:rPr>
                <w:rFonts w:asciiTheme="minorEastAsia" w:hAnsiTheme="minorEastAsia" w:eastAsiaTheme="minorEastAsia"/>
                <w:kern w:val="0"/>
                <w:sz w:val="24"/>
              </w:rPr>
            </w:pPr>
            <w:r>
              <w:rPr>
                <w:rFonts w:hint="eastAsia" w:asciiTheme="minorEastAsia" w:hAnsiTheme="minorEastAsia" w:eastAsiaTheme="minorEastAsia"/>
                <w:kern w:val="0"/>
                <w:sz w:val="24"/>
              </w:rPr>
              <w:t>3、所有板材通过绿色环保认证，贴面及内材结构所用胶水,符合欧洲E1级环保标准。</w:t>
            </w:r>
          </w:p>
          <w:p>
            <w:pPr>
              <w:pStyle w:val="2"/>
              <w:ind w:left="0" w:leftChars="0" w:firstLine="0" w:firstLineChars="0"/>
            </w:pPr>
            <w:r>
              <w:rPr>
                <w:rFonts w:hint="eastAsia" w:ascii="宋体" w:hAnsi="宋体"/>
                <w:sz w:val="24"/>
              </w:rPr>
              <w:t>4、为达到环保要求，需提供名称为高密度防火板符合检验依据为GB/T31765-2015《高密度纤维板》中“可溶性汞、可溶性铅、可溶性铬、可溶性镉、锑、砷、钡、硒”的检验报告复印件。</w:t>
            </w:r>
          </w:p>
        </w:tc>
        <w:tc>
          <w:tcPr>
            <w:tcW w:w="1147" w:type="pct"/>
          </w:tcPr>
          <w:p>
            <w:pPr>
              <w:rPr>
                <w:rFonts w:ascii="宋体" w:hAnsi="宋体" w:cs="宋体"/>
                <w:kern w:val="0"/>
                <w:sz w:val="24"/>
              </w:rPr>
            </w:pPr>
            <w:r>
              <w:rPr>
                <w:rFonts w:ascii="宋体" w:hAnsi="宋体" w:cs="宋体"/>
                <w:kern w:val="0"/>
                <w:sz w:val="24"/>
              </w:rPr>
              <w:drawing>
                <wp:inline distT="0" distB="0" distL="0" distR="0">
                  <wp:extent cx="1416050" cy="1239520"/>
                  <wp:effectExtent l="0" t="0" r="12700" b="17780"/>
                  <wp:docPr id="8" name="图片 10" descr="360截图20221230145044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360截图20221230145044863.jpg"/>
                          <pic:cNvPicPr>
                            <a:picLocks noChangeAspect="1"/>
                          </pic:cNvPicPr>
                        </pic:nvPicPr>
                        <pic:blipFill>
                          <a:blip r:embed="rId9" cstate="print"/>
                          <a:stretch>
                            <a:fillRect/>
                          </a:stretch>
                        </pic:blipFill>
                        <pic:spPr>
                          <a:xfrm>
                            <a:off x="0" y="0"/>
                            <a:ext cx="1416390" cy="1240364"/>
                          </a:xfrm>
                          <a:prstGeom prst="rect">
                            <a:avLst/>
                          </a:prstGeom>
                        </pic:spPr>
                      </pic:pic>
                    </a:graphicData>
                  </a:graphic>
                </wp:inline>
              </w:drawing>
            </w:r>
          </w:p>
        </w:tc>
        <w:tc>
          <w:tcPr>
            <w:tcW w:w="299" w:type="pct"/>
            <w:vAlign w:val="center"/>
          </w:tcPr>
          <w:p>
            <w:pPr>
              <w:jc w:val="center"/>
              <w:rPr>
                <w:rFonts w:ascii="宋体" w:hAnsi="宋体" w:cs="宋体"/>
                <w:sz w:val="24"/>
              </w:rPr>
            </w:pPr>
            <w:r>
              <w:rPr>
                <w:rFonts w:hint="eastAsia" w:ascii="宋体" w:hAnsi="宋体" w:cs="宋体"/>
                <w:sz w:val="24"/>
              </w:rPr>
              <w:t>17张</w:t>
            </w:r>
          </w:p>
        </w:tc>
        <w:tc>
          <w:tcPr>
            <w:tcW w:w="375" w:type="pct"/>
            <w:vAlign w:val="center"/>
          </w:tcPr>
          <w:p>
            <w:pPr>
              <w:jc w:val="center"/>
              <w:rPr>
                <w:rFonts w:ascii="宋体" w:hAnsi="宋体" w:cs="宋体"/>
                <w:color w:val="000000"/>
                <w:sz w:val="24"/>
              </w:rPr>
            </w:pPr>
            <w:r>
              <w:rPr>
                <w:rFonts w:hint="eastAsia"/>
                <w:color w:val="000000"/>
                <w:sz w:val="24"/>
              </w:rPr>
              <w:t>600</w:t>
            </w:r>
          </w:p>
        </w:tc>
        <w:tc>
          <w:tcPr>
            <w:tcW w:w="430" w:type="pct"/>
            <w:vAlign w:val="center"/>
          </w:tcPr>
          <w:p>
            <w:pPr>
              <w:jc w:val="center"/>
              <w:rPr>
                <w:rFonts w:ascii="宋体" w:hAnsi="宋体" w:cs="宋体"/>
                <w:color w:val="000000"/>
                <w:sz w:val="24"/>
              </w:rPr>
            </w:pPr>
            <w:r>
              <w:rPr>
                <w:rFonts w:hint="eastAsia"/>
                <w:color w:val="000000"/>
                <w:sz w:val="24"/>
              </w:rPr>
              <w:t>10200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jc w:val="center"/>
              <w:rPr>
                <w:rFonts w:ascii="宋体" w:hAnsi="宋体" w:cs="宋体"/>
                <w:sz w:val="24"/>
              </w:rPr>
            </w:pPr>
            <w:r>
              <w:rPr>
                <w:rFonts w:hint="eastAsia" w:ascii="宋体" w:hAnsi="宋体" w:cs="宋体"/>
                <w:sz w:val="24"/>
              </w:rPr>
              <w:t>2</w:t>
            </w:r>
          </w:p>
        </w:tc>
        <w:tc>
          <w:tcPr>
            <w:tcW w:w="531" w:type="pct"/>
            <w:vAlign w:val="center"/>
          </w:tcPr>
          <w:p>
            <w:pPr>
              <w:jc w:val="center"/>
              <w:rPr>
                <w:rFonts w:ascii="宋体" w:hAnsi="宋体" w:cs="宋体"/>
                <w:sz w:val="24"/>
              </w:rPr>
            </w:pPr>
            <w:r>
              <w:rPr>
                <w:rFonts w:ascii="宋体" w:hAnsi="宋体" w:cs="宋体"/>
                <w:sz w:val="24"/>
              </w:rPr>
              <w:t>双人位电脑桌</w:t>
            </w:r>
          </w:p>
        </w:tc>
        <w:tc>
          <w:tcPr>
            <w:tcW w:w="1996" w:type="pct"/>
          </w:tcPr>
          <w:p>
            <w:pPr>
              <w:jc w:val="left"/>
              <w:rPr>
                <w:rFonts w:ascii="宋体" w:hAnsi="宋体" w:cs="宋体"/>
                <w:sz w:val="24"/>
              </w:rPr>
            </w:pPr>
            <w:r>
              <w:rPr>
                <w:rFonts w:hint="eastAsia" w:ascii="宋体" w:hAnsi="宋体" w:cs="宋体"/>
                <w:sz w:val="24"/>
              </w:rPr>
              <w:t>规格：1500*600*750mm</w:t>
            </w:r>
          </w:p>
          <w:p>
            <w:pPr>
              <w:rPr>
                <w:rFonts w:asciiTheme="minorEastAsia" w:hAnsiTheme="minorEastAsia" w:eastAsiaTheme="minorEastAsia"/>
                <w:kern w:val="0"/>
                <w:sz w:val="24"/>
              </w:rPr>
            </w:pPr>
            <w:r>
              <w:rPr>
                <w:rFonts w:hint="eastAsia" w:asciiTheme="minorEastAsia" w:hAnsiTheme="minorEastAsia" w:eastAsiaTheme="minorEastAsia"/>
                <w:kern w:val="0"/>
                <w:sz w:val="24"/>
              </w:rPr>
              <w:t>1、桌面采用厚度≥25mm优质E1级</w:t>
            </w:r>
            <w:r>
              <w:rPr>
                <w:rFonts w:hint="eastAsia" w:ascii="宋体" w:hAnsi="宋体"/>
                <w:sz w:val="24"/>
              </w:rPr>
              <w:t>环保型高密度纤维板</w:t>
            </w:r>
            <w:r>
              <w:rPr>
                <w:rFonts w:hint="eastAsia" w:asciiTheme="minorEastAsia" w:hAnsiTheme="minorEastAsia" w:eastAsiaTheme="minorEastAsia"/>
                <w:kern w:val="0"/>
                <w:sz w:val="24"/>
              </w:rPr>
              <w:t>，双面贴三聚氰胺面，四周PVC封边，厚度≥1.5mm，桌面下方配有与桌面同材质的可推拉式键盘托，桌面和主机柜两侧合理开有走线孔，方便布线；</w:t>
            </w:r>
          </w:p>
          <w:p>
            <w:pPr>
              <w:rPr>
                <w:rFonts w:asciiTheme="minorEastAsia" w:hAnsiTheme="minorEastAsia" w:eastAsiaTheme="minorEastAsia"/>
                <w:kern w:val="0"/>
                <w:sz w:val="24"/>
              </w:rPr>
            </w:pPr>
            <w:r>
              <w:rPr>
                <w:rFonts w:hint="eastAsia" w:asciiTheme="minorEastAsia" w:hAnsiTheme="minorEastAsia" w:eastAsiaTheme="minorEastAsia"/>
                <w:kern w:val="0"/>
                <w:sz w:val="24"/>
              </w:rPr>
              <w:t>2、其他基材采用环保优质E1级</w:t>
            </w:r>
            <w:r>
              <w:rPr>
                <w:rFonts w:hint="eastAsia" w:ascii="宋体" w:hAnsi="宋体"/>
                <w:sz w:val="24"/>
              </w:rPr>
              <w:t>环保型高密度纤维板</w:t>
            </w:r>
            <w:r>
              <w:rPr>
                <w:rFonts w:hint="eastAsia" w:asciiTheme="minorEastAsia" w:hAnsiTheme="minorEastAsia" w:eastAsiaTheme="minorEastAsia"/>
                <w:kern w:val="0"/>
                <w:sz w:val="24"/>
              </w:rPr>
              <w:t>，双面贴三聚氰胺面，厚度≥18mm，四周PVC封边，厚度≥1.5mm；</w:t>
            </w:r>
          </w:p>
          <w:p>
            <w:pPr>
              <w:rPr>
                <w:rFonts w:asciiTheme="minorEastAsia" w:hAnsiTheme="minorEastAsia" w:eastAsiaTheme="minorEastAsia"/>
                <w:kern w:val="0"/>
                <w:sz w:val="24"/>
              </w:rPr>
            </w:pPr>
            <w:r>
              <w:rPr>
                <w:rFonts w:hint="eastAsia" w:asciiTheme="minorEastAsia" w:hAnsiTheme="minorEastAsia" w:eastAsiaTheme="minorEastAsia"/>
                <w:kern w:val="0"/>
                <w:sz w:val="24"/>
              </w:rPr>
              <w:t>3、所有板材通过绿色环保认证，贴面及内材结构所用胶水,符合欧洲E1级环保标准。</w:t>
            </w:r>
          </w:p>
          <w:p>
            <w:pPr>
              <w:pStyle w:val="2"/>
              <w:ind w:left="0" w:leftChars="0" w:firstLine="0" w:firstLineChars="0"/>
            </w:pPr>
            <w:r>
              <w:rPr>
                <w:rFonts w:hint="eastAsia" w:ascii="宋体" w:hAnsi="宋体"/>
                <w:sz w:val="24"/>
              </w:rPr>
              <w:t>4、为达到环保要求，需提供名称为高密度防火板符合检验依据为GB/T31765-2015《高密度纤维板》中“可溶性汞、可溶性铅、可溶性铬、可溶性镉、锑、砷、钡、硒”的检验报告复印件。</w:t>
            </w:r>
          </w:p>
        </w:tc>
        <w:tc>
          <w:tcPr>
            <w:tcW w:w="1147" w:type="pct"/>
          </w:tcPr>
          <w:p>
            <w:pPr>
              <w:rPr>
                <w:rFonts w:ascii="宋体" w:hAnsi="宋体" w:cs="宋体"/>
                <w:sz w:val="24"/>
              </w:rPr>
            </w:pPr>
            <w:r>
              <w:rPr>
                <w:rFonts w:ascii="宋体" w:hAnsi="宋体" w:cs="宋体"/>
                <w:sz w:val="24"/>
              </w:rPr>
              <w:drawing>
                <wp:inline distT="0" distB="0" distL="0" distR="0">
                  <wp:extent cx="1416050" cy="1239520"/>
                  <wp:effectExtent l="0" t="0" r="12700" b="17780"/>
                  <wp:docPr id="9" name="图片 10" descr="360截图20221230145044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360截图20221230145044863.jpg"/>
                          <pic:cNvPicPr>
                            <a:picLocks noChangeAspect="1"/>
                          </pic:cNvPicPr>
                        </pic:nvPicPr>
                        <pic:blipFill>
                          <a:blip r:embed="rId9" cstate="print"/>
                          <a:stretch>
                            <a:fillRect/>
                          </a:stretch>
                        </pic:blipFill>
                        <pic:spPr>
                          <a:xfrm>
                            <a:off x="0" y="0"/>
                            <a:ext cx="1416390" cy="1240364"/>
                          </a:xfrm>
                          <a:prstGeom prst="rect">
                            <a:avLst/>
                          </a:prstGeom>
                        </pic:spPr>
                      </pic:pic>
                    </a:graphicData>
                  </a:graphic>
                </wp:inline>
              </w:drawing>
            </w:r>
          </w:p>
        </w:tc>
        <w:tc>
          <w:tcPr>
            <w:tcW w:w="299" w:type="pct"/>
            <w:vAlign w:val="center"/>
          </w:tcPr>
          <w:p>
            <w:pPr>
              <w:jc w:val="center"/>
              <w:rPr>
                <w:rFonts w:ascii="宋体" w:hAnsi="宋体" w:cs="宋体"/>
                <w:sz w:val="24"/>
              </w:rPr>
            </w:pPr>
            <w:r>
              <w:rPr>
                <w:rFonts w:hint="eastAsia" w:ascii="宋体" w:hAnsi="宋体" w:cs="宋体"/>
                <w:sz w:val="24"/>
              </w:rPr>
              <w:t>34张</w:t>
            </w:r>
          </w:p>
        </w:tc>
        <w:tc>
          <w:tcPr>
            <w:tcW w:w="375" w:type="pct"/>
            <w:vAlign w:val="center"/>
          </w:tcPr>
          <w:p>
            <w:pPr>
              <w:jc w:val="center"/>
              <w:rPr>
                <w:rFonts w:ascii="宋体" w:hAnsi="宋体" w:cs="宋体"/>
                <w:color w:val="000000"/>
                <w:sz w:val="24"/>
              </w:rPr>
            </w:pPr>
            <w:r>
              <w:rPr>
                <w:rFonts w:hint="eastAsia"/>
                <w:color w:val="000000"/>
                <w:sz w:val="24"/>
              </w:rPr>
              <w:t>610</w:t>
            </w:r>
          </w:p>
        </w:tc>
        <w:tc>
          <w:tcPr>
            <w:tcW w:w="430" w:type="pct"/>
            <w:vAlign w:val="center"/>
          </w:tcPr>
          <w:p>
            <w:pPr>
              <w:jc w:val="center"/>
              <w:rPr>
                <w:rFonts w:ascii="宋体" w:hAnsi="宋体" w:cs="宋体"/>
                <w:color w:val="000000"/>
                <w:sz w:val="24"/>
              </w:rPr>
            </w:pPr>
            <w:r>
              <w:rPr>
                <w:rFonts w:hint="eastAsia"/>
                <w:color w:val="000000"/>
                <w:sz w:val="24"/>
              </w:rPr>
              <w:t>20740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jc w:val="center"/>
              <w:rPr>
                <w:rFonts w:ascii="宋体" w:hAnsi="宋体" w:cs="宋体"/>
                <w:sz w:val="24"/>
              </w:rPr>
            </w:pPr>
            <w:r>
              <w:rPr>
                <w:rFonts w:hint="eastAsia" w:ascii="宋体" w:hAnsi="宋体" w:cs="宋体"/>
                <w:sz w:val="24"/>
              </w:rPr>
              <w:t>3</w:t>
            </w:r>
          </w:p>
        </w:tc>
        <w:tc>
          <w:tcPr>
            <w:tcW w:w="531" w:type="pct"/>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方凳</w:t>
            </w:r>
          </w:p>
        </w:tc>
        <w:tc>
          <w:tcPr>
            <w:tcW w:w="1996" w:type="pct"/>
          </w:tcPr>
          <w:p>
            <w:pPr>
              <w:jc w:val="left"/>
              <w:rPr>
                <w:rFonts w:ascii="宋体" w:hAnsi="宋体" w:cs="宋体"/>
                <w:sz w:val="24"/>
              </w:rPr>
            </w:pPr>
            <w:r>
              <w:rPr>
                <w:rFonts w:hint="eastAsia" w:ascii="宋体" w:hAnsi="宋体" w:cs="宋体"/>
                <w:sz w:val="24"/>
              </w:rPr>
              <w:t>1、</w:t>
            </w:r>
            <w:r>
              <w:rPr>
                <w:rFonts w:hint="eastAsia" w:ascii="宋体" w:hAnsi="宋体"/>
                <w:sz w:val="24"/>
              </w:rPr>
              <w:t>规格240*340*450 mm ；凳面材质采用优质环保实木多层板，厚度25mm。</w:t>
            </w:r>
          </w:p>
          <w:p>
            <w:pPr>
              <w:jc w:val="left"/>
              <w:rPr>
                <w:rFonts w:ascii="宋体" w:hAnsi="宋体" w:cs="宋体"/>
                <w:sz w:val="24"/>
              </w:rPr>
            </w:pPr>
            <w:r>
              <w:rPr>
                <w:rFonts w:hint="eastAsia" w:ascii="宋体" w:hAnsi="宋体" w:cs="宋体"/>
                <w:sz w:val="24"/>
              </w:rPr>
              <w:t>2、</w:t>
            </w:r>
            <w:r>
              <w:rPr>
                <w:rFonts w:hint="eastAsia" w:ascii="宋体" w:hAnsi="宋体"/>
                <w:sz w:val="24"/>
              </w:rPr>
              <w:t>脚架采用25*25mm钢架方管，壁厚</w:t>
            </w:r>
            <w:r>
              <w:rPr>
                <w:rFonts w:hint="eastAsia" w:ascii="宋体" w:hAnsi="宋体"/>
                <w:bCs/>
                <w:sz w:val="24"/>
              </w:rPr>
              <w:t>≥</w:t>
            </w:r>
            <w:r>
              <w:rPr>
                <w:rFonts w:hint="eastAsia" w:ascii="宋体" w:hAnsi="宋体"/>
                <w:sz w:val="24"/>
              </w:rPr>
              <w:t>1.2 mm,采用酸洗磷化工序，经过树脂氧化工艺一次成型,整个脚架颜色为灰色</w:t>
            </w:r>
            <w:r>
              <w:rPr>
                <w:rFonts w:hint="eastAsia" w:ascii="宋体" w:hAnsi="宋体" w:cs="宋体"/>
                <w:sz w:val="24"/>
              </w:rPr>
              <w:t>。。</w:t>
            </w:r>
          </w:p>
          <w:p>
            <w:pPr>
              <w:jc w:val="left"/>
              <w:rPr>
                <w:rFonts w:ascii="宋体" w:hAnsi="宋体" w:cs="宋体"/>
                <w:sz w:val="24"/>
              </w:rPr>
            </w:pPr>
            <w:r>
              <w:rPr>
                <w:rFonts w:hint="eastAsia" w:ascii="宋体" w:hAnsi="宋体" w:cs="宋体"/>
                <w:sz w:val="24"/>
              </w:rPr>
              <w:t>3、为达到环保要求，需提供检测日期为2021年以来的钢管符合GB/T3325—2017《金属家具通用技术条件》和GB28007—2011《儿童家具通用技术条件》标准的检验报告复印件，检验项目技术要求需包含“锑、砷、钡、汞、硒、铬、镉、铅”等可迁移元素。</w:t>
            </w:r>
            <w:r>
              <w:rPr>
                <w:rFonts w:ascii="宋体" w:hAnsi="宋体" w:cs="宋体"/>
                <w:sz w:val="24"/>
              </w:rPr>
              <w:t xml:space="preserve"> </w:t>
            </w:r>
          </w:p>
        </w:tc>
        <w:tc>
          <w:tcPr>
            <w:tcW w:w="1147" w:type="pct"/>
          </w:tcPr>
          <w:p>
            <w:pPr>
              <w:rPr>
                <w:rFonts w:ascii="宋体" w:hAnsi="宋体" w:cs="宋体"/>
                <w:kern w:val="0"/>
                <w:sz w:val="24"/>
              </w:rPr>
            </w:pPr>
            <w:r>
              <w:rPr>
                <w:rFonts w:ascii="宋体" w:hAnsi="宋体" w:cs="宋体"/>
                <w:kern w:val="0"/>
                <w:sz w:val="24"/>
              </w:rPr>
              <w:drawing>
                <wp:inline distT="0" distB="0" distL="0" distR="0">
                  <wp:extent cx="1385570" cy="1670050"/>
                  <wp:effectExtent l="0" t="0" r="508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srcRect/>
                          <a:stretch>
                            <a:fillRect/>
                          </a:stretch>
                        </pic:blipFill>
                        <pic:spPr>
                          <a:xfrm>
                            <a:off x="0" y="0"/>
                            <a:ext cx="1385714" cy="1670050"/>
                          </a:xfrm>
                          <a:prstGeom prst="rect">
                            <a:avLst/>
                          </a:prstGeom>
                          <a:noFill/>
                          <a:ln w="9525">
                            <a:noFill/>
                            <a:miter lim="800000"/>
                            <a:headEnd/>
                            <a:tailEnd/>
                          </a:ln>
                        </pic:spPr>
                      </pic:pic>
                    </a:graphicData>
                  </a:graphic>
                </wp:inline>
              </w:drawing>
            </w:r>
          </w:p>
        </w:tc>
        <w:tc>
          <w:tcPr>
            <w:tcW w:w="299" w:type="pct"/>
            <w:vAlign w:val="center"/>
          </w:tcPr>
          <w:p>
            <w:pPr>
              <w:jc w:val="center"/>
              <w:rPr>
                <w:rFonts w:ascii="宋体" w:hAnsi="宋体" w:cs="宋体"/>
                <w:sz w:val="24"/>
              </w:rPr>
            </w:pPr>
            <w:r>
              <w:rPr>
                <w:rFonts w:hint="eastAsia" w:ascii="宋体" w:hAnsi="宋体" w:cs="宋体"/>
                <w:sz w:val="24"/>
              </w:rPr>
              <w:t>120张</w:t>
            </w:r>
          </w:p>
        </w:tc>
        <w:tc>
          <w:tcPr>
            <w:tcW w:w="375" w:type="pct"/>
            <w:vAlign w:val="center"/>
          </w:tcPr>
          <w:p>
            <w:pPr>
              <w:jc w:val="center"/>
              <w:rPr>
                <w:rFonts w:ascii="宋体" w:hAnsi="宋体" w:cs="宋体"/>
                <w:color w:val="000000"/>
                <w:sz w:val="24"/>
              </w:rPr>
            </w:pPr>
            <w:r>
              <w:rPr>
                <w:rFonts w:hint="eastAsia"/>
                <w:color w:val="000000"/>
                <w:sz w:val="24"/>
              </w:rPr>
              <w:t>80</w:t>
            </w:r>
          </w:p>
        </w:tc>
        <w:tc>
          <w:tcPr>
            <w:tcW w:w="430" w:type="pct"/>
            <w:vAlign w:val="center"/>
          </w:tcPr>
          <w:p>
            <w:pPr>
              <w:jc w:val="center"/>
              <w:rPr>
                <w:rFonts w:ascii="宋体" w:hAnsi="宋体" w:cs="宋体"/>
                <w:color w:val="000000"/>
                <w:sz w:val="24"/>
              </w:rPr>
            </w:pPr>
            <w:r>
              <w:rPr>
                <w:rFonts w:hint="eastAsia"/>
                <w:color w:val="000000"/>
                <w:sz w:val="24"/>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jc w:val="center"/>
              <w:rPr>
                <w:rFonts w:ascii="宋体" w:hAnsi="宋体" w:cs="宋体"/>
                <w:sz w:val="24"/>
              </w:rPr>
            </w:pPr>
            <w:r>
              <w:rPr>
                <w:rFonts w:hint="eastAsia" w:ascii="宋体" w:hAnsi="宋体" w:cs="宋体"/>
                <w:sz w:val="24"/>
              </w:rPr>
              <w:t>4</w:t>
            </w:r>
          </w:p>
        </w:tc>
        <w:tc>
          <w:tcPr>
            <w:tcW w:w="531" w:type="pct"/>
            <w:vAlign w:val="center"/>
          </w:tcPr>
          <w:p>
            <w:pPr>
              <w:jc w:val="center"/>
              <w:rPr>
                <w:rFonts w:ascii="宋体" w:hAnsi="宋体" w:cs="宋体"/>
                <w:sz w:val="24"/>
              </w:rPr>
            </w:pPr>
            <w:r>
              <w:rPr>
                <w:rFonts w:ascii="宋体" w:hAnsi="宋体" w:cs="宋体"/>
                <w:sz w:val="24"/>
              </w:rPr>
              <w:t>讲台</w:t>
            </w:r>
          </w:p>
        </w:tc>
        <w:tc>
          <w:tcPr>
            <w:tcW w:w="1996" w:type="pct"/>
          </w:tcPr>
          <w:p>
            <w:pPr>
              <w:rPr>
                <w:rFonts w:ascii="宋体" w:hAnsi="宋体"/>
                <w:sz w:val="24"/>
              </w:rPr>
            </w:pPr>
            <w:r>
              <w:rPr>
                <w:rFonts w:hint="eastAsia" w:ascii="宋体" w:hAnsi="宋体"/>
                <w:sz w:val="24"/>
              </w:rPr>
              <w:t>尺寸：</w:t>
            </w:r>
            <w:r>
              <w:rPr>
                <w:rFonts w:ascii="宋体" w:hAnsi="宋体"/>
                <w:sz w:val="24"/>
              </w:rPr>
              <w:t xml:space="preserve"> 1</w:t>
            </w:r>
            <w:r>
              <w:rPr>
                <w:rFonts w:hint="eastAsia" w:ascii="宋体" w:hAnsi="宋体"/>
                <w:sz w:val="24"/>
              </w:rPr>
              <w:t>1</w:t>
            </w:r>
            <w:r>
              <w:rPr>
                <w:rFonts w:ascii="宋体" w:hAnsi="宋体"/>
                <w:sz w:val="24"/>
              </w:rPr>
              <w:t>00*7</w:t>
            </w:r>
            <w:r>
              <w:rPr>
                <w:rFonts w:hint="eastAsia" w:ascii="宋体" w:hAnsi="宋体"/>
                <w:sz w:val="24"/>
              </w:rPr>
              <w:t>8</w:t>
            </w:r>
            <w:r>
              <w:rPr>
                <w:rFonts w:ascii="宋体" w:hAnsi="宋体"/>
                <w:sz w:val="24"/>
              </w:rPr>
              <w:t>0*1000 mm(</w:t>
            </w:r>
            <w:r>
              <w:rPr>
                <w:rFonts w:hint="eastAsia" w:ascii="宋体" w:hAnsi="宋体"/>
                <w:sz w:val="24"/>
              </w:rPr>
              <w:t>长宽高</w:t>
            </w:r>
            <w:r>
              <w:rPr>
                <w:rFonts w:ascii="宋体" w:hAnsi="宋体"/>
                <w:sz w:val="24"/>
              </w:rPr>
              <w:t>)</w:t>
            </w:r>
            <w:r>
              <w:rPr>
                <w:rFonts w:hint="eastAsia" w:ascii="宋体" w:hAnsi="宋体"/>
                <w:sz w:val="24"/>
              </w:rPr>
              <w:t>。1、桌面边、角采用平滑圆弧过渡、去毛刺，表面采用整体酸洗磷化及静电喷塑处理；讲台具备防盗、防火、防尘、散热强等功能。钢木结合工艺。整体采用优质冷轧钢板制作；实木扶手、讲台内所有锁钥匙通用，标配</w:t>
            </w:r>
            <w:r>
              <w:rPr>
                <w:rFonts w:ascii="宋体" w:hAnsi="宋体"/>
                <w:sz w:val="24"/>
              </w:rPr>
              <w:t xml:space="preserve">4 </w:t>
            </w:r>
            <w:r>
              <w:rPr>
                <w:rFonts w:hint="eastAsia" w:ascii="宋体" w:hAnsi="宋体"/>
                <w:sz w:val="24"/>
              </w:rPr>
              <w:t>把钥匙。适用于</w:t>
            </w:r>
            <w:r>
              <w:rPr>
                <w:rFonts w:ascii="宋体" w:hAnsi="宋体"/>
                <w:sz w:val="24"/>
              </w:rPr>
              <w:t xml:space="preserve">17-19 </w:t>
            </w:r>
            <w:r>
              <w:rPr>
                <w:rFonts w:hint="eastAsia" w:ascii="宋体" w:hAnsi="宋体"/>
                <w:sz w:val="24"/>
              </w:rPr>
              <w:t>寸液晶显示器、显示器角度</w:t>
            </w:r>
            <w:r>
              <w:rPr>
                <w:rFonts w:ascii="宋体" w:hAnsi="宋体"/>
                <w:sz w:val="24"/>
              </w:rPr>
              <w:t xml:space="preserve">180 </w:t>
            </w:r>
            <w:r>
              <w:rPr>
                <w:rFonts w:hint="eastAsia" w:ascii="宋体" w:hAnsi="宋体"/>
                <w:sz w:val="24"/>
              </w:rPr>
              <w:t>度内任意可调；键盘采用抽拉式。</w:t>
            </w:r>
          </w:p>
          <w:p>
            <w:pPr>
              <w:rPr>
                <w:rFonts w:ascii="宋体" w:hAnsi="宋体" w:cs="宋体"/>
                <w:sz w:val="24"/>
              </w:rPr>
            </w:pPr>
            <w:r>
              <w:rPr>
                <w:rFonts w:hint="eastAsia" w:ascii="宋体" w:hAnsi="宋体"/>
                <w:sz w:val="24"/>
              </w:rPr>
              <w:t>2、中控盖板采用外翻下插式，上课时可防止阻挡学生视线，更加人性化。讲台侧面设有抽拉式抽屉，用于放置实物展示台；讲台内可放设备：教学终端、中控，实物展示台等。关闭时所有设备不外露，必须借助钥匙才能进行操作，安全性更高。</w:t>
            </w:r>
          </w:p>
        </w:tc>
        <w:tc>
          <w:tcPr>
            <w:tcW w:w="1147" w:type="pct"/>
          </w:tcPr>
          <w:p>
            <w:pPr>
              <w:rPr>
                <w:rFonts w:ascii="宋体" w:hAnsi="宋体" w:cs="宋体"/>
                <w:kern w:val="0"/>
                <w:sz w:val="24"/>
              </w:rPr>
            </w:pPr>
            <w:r>
              <w:rPr>
                <w:rFonts w:ascii="宋体" w:hAnsi="宋体" w:cs="宋体"/>
                <w:kern w:val="0"/>
                <w:sz w:val="24"/>
              </w:rPr>
              <w:drawing>
                <wp:inline distT="0" distB="0" distL="0" distR="0">
                  <wp:extent cx="1301750" cy="1064895"/>
                  <wp:effectExtent l="0" t="0" r="12700"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1" cstate="print"/>
                          <a:srcRect/>
                          <a:stretch>
                            <a:fillRect/>
                          </a:stretch>
                        </pic:blipFill>
                        <pic:spPr>
                          <a:xfrm>
                            <a:off x="0" y="0"/>
                            <a:ext cx="1303545" cy="1066680"/>
                          </a:xfrm>
                          <a:prstGeom prst="rect">
                            <a:avLst/>
                          </a:prstGeom>
                          <a:noFill/>
                          <a:ln w="9525">
                            <a:noFill/>
                            <a:miter lim="800000"/>
                            <a:headEnd/>
                            <a:tailEnd/>
                          </a:ln>
                        </pic:spPr>
                      </pic:pic>
                    </a:graphicData>
                  </a:graphic>
                </wp:inline>
              </w:drawing>
            </w:r>
          </w:p>
        </w:tc>
        <w:tc>
          <w:tcPr>
            <w:tcW w:w="299" w:type="pct"/>
            <w:vAlign w:val="center"/>
          </w:tcPr>
          <w:p>
            <w:pPr>
              <w:jc w:val="center"/>
              <w:rPr>
                <w:rFonts w:ascii="宋体" w:hAnsi="宋体" w:cs="宋体"/>
                <w:sz w:val="24"/>
              </w:rPr>
            </w:pPr>
            <w:r>
              <w:rPr>
                <w:rFonts w:hint="eastAsia" w:ascii="宋体" w:hAnsi="宋体" w:cs="宋体"/>
                <w:sz w:val="24"/>
              </w:rPr>
              <w:t>3个</w:t>
            </w:r>
          </w:p>
        </w:tc>
        <w:tc>
          <w:tcPr>
            <w:tcW w:w="375" w:type="pct"/>
            <w:vAlign w:val="center"/>
          </w:tcPr>
          <w:p>
            <w:pPr>
              <w:jc w:val="center"/>
              <w:rPr>
                <w:rFonts w:ascii="宋体" w:hAnsi="宋体" w:cs="宋体"/>
                <w:color w:val="000000"/>
                <w:sz w:val="24"/>
              </w:rPr>
            </w:pPr>
            <w:r>
              <w:rPr>
                <w:rFonts w:hint="eastAsia"/>
                <w:color w:val="000000"/>
                <w:sz w:val="24"/>
              </w:rPr>
              <w:t>1660</w:t>
            </w:r>
          </w:p>
        </w:tc>
        <w:tc>
          <w:tcPr>
            <w:tcW w:w="430" w:type="pct"/>
            <w:vAlign w:val="center"/>
          </w:tcPr>
          <w:p>
            <w:pPr>
              <w:jc w:val="center"/>
              <w:rPr>
                <w:rFonts w:ascii="宋体" w:hAnsi="宋体" w:cs="宋体"/>
                <w:color w:val="000000"/>
                <w:sz w:val="24"/>
              </w:rPr>
            </w:pPr>
            <w:r>
              <w:rPr>
                <w:rFonts w:hint="eastAsia"/>
                <w:color w:val="000000"/>
                <w:sz w:val="24"/>
              </w:rPr>
              <w:t>4980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 w:type="pct"/>
            <w:vAlign w:val="center"/>
          </w:tcPr>
          <w:p>
            <w:pPr>
              <w:jc w:val="center"/>
              <w:rPr>
                <w:rFonts w:ascii="宋体" w:hAnsi="宋体" w:cs="宋体"/>
                <w:sz w:val="24"/>
              </w:rPr>
            </w:pPr>
            <w:r>
              <w:rPr>
                <w:rFonts w:hint="eastAsia" w:ascii="宋体" w:hAnsi="宋体" w:cs="宋体"/>
                <w:sz w:val="24"/>
              </w:rPr>
              <w:t>5</w:t>
            </w:r>
          </w:p>
        </w:tc>
        <w:tc>
          <w:tcPr>
            <w:tcW w:w="531" w:type="pct"/>
            <w:vAlign w:val="center"/>
          </w:tcPr>
          <w:p>
            <w:pPr>
              <w:jc w:val="center"/>
              <w:rPr>
                <w:rFonts w:ascii="宋体" w:hAnsi="宋体" w:cs="宋体"/>
                <w:sz w:val="24"/>
              </w:rPr>
            </w:pPr>
            <w:r>
              <w:rPr>
                <w:rFonts w:ascii="宋体" w:hAnsi="宋体" w:cs="宋体"/>
                <w:sz w:val="24"/>
              </w:rPr>
              <w:t>讲台椅</w:t>
            </w:r>
          </w:p>
        </w:tc>
        <w:tc>
          <w:tcPr>
            <w:tcW w:w="1996" w:type="pct"/>
          </w:tcPr>
          <w:p>
            <w:pPr>
              <w:rPr>
                <w:rFonts w:ascii="宋体" w:hAnsi="宋体"/>
                <w:sz w:val="24"/>
              </w:rPr>
            </w:pPr>
            <w:r>
              <w:rPr>
                <w:rFonts w:hint="eastAsia" w:ascii="宋体" w:hAnsi="宋体"/>
                <w:sz w:val="24"/>
              </w:rPr>
              <w:t>规格：390*450*890mm</w:t>
            </w:r>
          </w:p>
          <w:p>
            <w:pPr>
              <w:rPr>
                <w:rFonts w:ascii="宋体" w:hAnsi="宋体"/>
                <w:sz w:val="24"/>
              </w:rPr>
            </w:pPr>
            <w:r>
              <w:rPr>
                <w:rFonts w:hint="eastAsia" w:ascii="宋体" w:hAnsi="宋体"/>
                <w:sz w:val="24"/>
              </w:rPr>
              <w:t>椅面采用优质多层板材质，电镀五星脚架。</w:t>
            </w:r>
          </w:p>
        </w:tc>
        <w:tc>
          <w:tcPr>
            <w:tcW w:w="1147" w:type="pct"/>
          </w:tcPr>
          <w:p>
            <w:pPr>
              <w:rPr>
                <w:rFonts w:ascii="宋体" w:hAnsi="宋体" w:cs="宋体"/>
                <w:kern w:val="0"/>
                <w:sz w:val="24"/>
              </w:rPr>
            </w:pPr>
            <w:r>
              <w:rPr>
                <w:rFonts w:ascii="宋体" w:hAnsi="宋体" w:cs="宋体"/>
                <w:kern w:val="0"/>
                <w:sz w:val="24"/>
              </w:rPr>
              <w:drawing>
                <wp:inline distT="0" distB="0" distL="0" distR="0">
                  <wp:extent cx="615950" cy="1006475"/>
                  <wp:effectExtent l="0" t="0" r="1270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srcRect/>
                          <a:stretch>
                            <a:fillRect/>
                          </a:stretch>
                        </pic:blipFill>
                        <pic:spPr>
                          <a:xfrm>
                            <a:off x="0" y="0"/>
                            <a:ext cx="617329" cy="1008969"/>
                          </a:xfrm>
                          <a:prstGeom prst="rect">
                            <a:avLst/>
                          </a:prstGeom>
                          <a:noFill/>
                          <a:ln w="9525">
                            <a:noFill/>
                            <a:miter lim="800000"/>
                            <a:headEnd/>
                            <a:tailEnd/>
                          </a:ln>
                        </pic:spPr>
                      </pic:pic>
                    </a:graphicData>
                  </a:graphic>
                </wp:inline>
              </w:drawing>
            </w:r>
          </w:p>
        </w:tc>
        <w:tc>
          <w:tcPr>
            <w:tcW w:w="299" w:type="pct"/>
            <w:vAlign w:val="center"/>
          </w:tcPr>
          <w:p>
            <w:pPr>
              <w:jc w:val="center"/>
              <w:rPr>
                <w:rFonts w:ascii="宋体" w:hAnsi="宋体" w:cs="宋体"/>
                <w:sz w:val="24"/>
              </w:rPr>
            </w:pPr>
            <w:r>
              <w:rPr>
                <w:rFonts w:hint="eastAsia" w:ascii="宋体" w:hAnsi="宋体" w:cs="宋体"/>
                <w:sz w:val="24"/>
              </w:rPr>
              <w:t>3张</w:t>
            </w:r>
          </w:p>
        </w:tc>
        <w:tc>
          <w:tcPr>
            <w:tcW w:w="375" w:type="pct"/>
            <w:vAlign w:val="center"/>
          </w:tcPr>
          <w:p>
            <w:pPr>
              <w:jc w:val="center"/>
              <w:rPr>
                <w:color w:val="000000"/>
                <w:sz w:val="24"/>
              </w:rPr>
            </w:pPr>
            <w:r>
              <w:rPr>
                <w:rFonts w:hint="eastAsia"/>
                <w:color w:val="000000"/>
                <w:sz w:val="24"/>
              </w:rPr>
              <w:t>300</w:t>
            </w:r>
          </w:p>
        </w:tc>
        <w:tc>
          <w:tcPr>
            <w:tcW w:w="430" w:type="pct"/>
            <w:vAlign w:val="center"/>
          </w:tcPr>
          <w:p>
            <w:pPr>
              <w:jc w:val="center"/>
              <w:rPr>
                <w:color w:val="000000"/>
                <w:sz w:val="24"/>
              </w:rPr>
            </w:pPr>
            <w:r>
              <w:rPr>
                <w:rFonts w:hint="eastAsia"/>
                <w:color w:val="000000"/>
                <w:sz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000" w:type="pct"/>
            <w:gridSpan w:val="7"/>
            <w:vAlign w:val="center"/>
          </w:tcPr>
          <w:p>
            <w:pPr>
              <w:jc w:val="center"/>
              <w:rPr>
                <w:color w:val="000000"/>
                <w:sz w:val="24"/>
              </w:rPr>
            </w:pPr>
            <w:r>
              <w:rPr>
                <w:rFonts w:hint="eastAsia"/>
                <w:color w:val="000000"/>
                <w:sz w:val="24"/>
              </w:rPr>
              <w:t>合计：46420元</w:t>
            </w:r>
          </w:p>
        </w:tc>
      </w:tr>
    </w:tbl>
    <w:p>
      <w:pPr>
        <w:pStyle w:val="23"/>
        <w:rPr>
          <w:rFonts w:hint="eastAsia" w:ascii="宋体" w:hAnsi="宋体"/>
          <w:b/>
          <w:color w:val="FF0000"/>
          <w:kern w:val="0"/>
          <w:sz w:val="24"/>
          <w:lang w:val="en-US" w:eastAsia="zh-CN"/>
        </w:rPr>
      </w:pP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25276504"/>
      <w:bookmarkStart w:id="55" w:name="_Toc478753855"/>
      <w:bookmarkStart w:id="56" w:name="_Toc57451666"/>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491700052"/>
      <w:bookmarkStart w:id="59" w:name="_Toc430269287"/>
      <w:bookmarkStart w:id="60" w:name="_Toc358109807"/>
      <w:bookmarkStart w:id="61" w:name="_Toc285393068"/>
      <w:bookmarkStart w:id="62" w:name="_Toc394319918"/>
      <w:bookmarkStart w:id="63" w:name="_Toc43026911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交货地点：美术与设计学院403、407、408。</w:t>
      </w:r>
    </w:p>
    <w:p>
      <w:pPr>
        <w:spacing w:line="440" w:lineRule="exact"/>
        <w:ind w:firstLine="480" w:firstLineChars="200"/>
        <w:rPr>
          <w:rFonts w:hint="default" w:hAnsi="宋体" w:eastAsia="宋体"/>
          <w:color w:val="auto"/>
          <w:sz w:val="24"/>
          <w:lang w:val="en-US" w:eastAsia="zh-CN"/>
        </w:rPr>
      </w:pPr>
      <w:r>
        <w:rPr>
          <w:rFonts w:hint="eastAsia" w:hAnsi="宋体" w:eastAsia="宋体"/>
          <w:color w:val="auto"/>
          <w:sz w:val="24"/>
          <w:lang w:val="en-US" w:eastAsia="zh-CN"/>
        </w:rPr>
        <w:t>交货时间：合同签订后30个工作日内。</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ind w:firstLine="480" w:firstLineChars="200"/>
        <w:rPr>
          <w:rFonts w:hint="default" w:hAnsi="宋体" w:eastAsia="宋体"/>
          <w:color w:val="auto"/>
          <w:sz w:val="24"/>
          <w:lang w:val="en-US" w:eastAsia="zh-CN"/>
        </w:rPr>
      </w:pPr>
      <w:r>
        <w:rPr>
          <w:rFonts w:hint="eastAsia" w:hAnsi="宋体" w:eastAsia="宋体"/>
          <w:color w:val="auto"/>
          <w:sz w:val="24"/>
          <w:lang w:val="en-US" w:eastAsia="zh-CN"/>
        </w:rPr>
        <w:t>验收完后30个工作日内一次性付款。</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29646"/>
      <w:bookmarkStart w:id="72" w:name="_Toc14215"/>
      <w:bookmarkStart w:id="73" w:name="_Toc1376"/>
      <w:bookmarkStart w:id="74" w:name="_Toc373141305"/>
      <w:bookmarkStart w:id="75" w:name="_Toc1606"/>
      <w:bookmarkStart w:id="76" w:name="_Toc432513145"/>
      <w:bookmarkStart w:id="77" w:name="_Toc393727156"/>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9026"/>
      <w:bookmarkStart w:id="89" w:name="_Toc102"/>
      <w:bookmarkStart w:id="90" w:name="_Toc24019"/>
      <w:bookmarkStart w:id="91" w:name="_Toc432513149"/>
      <w:bookmarkStart w:id="92" w:name="_Toc502907895"/>
      <w:bookmarkStart w:id="93" w:name="_Toc393727163"/>
      <w:bookmarkStart w:id="94" w:name="_Toc372013046"/>
      <w:bookmarkStart w:id="95" w:name="_Toc23010"/>
      <w:bookmarkStart w:id="96" w:name="_Toc373141312"/>
      <w:bookmarkStart w:id="97" w:name="_Toc14513211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泉州师范学院美术与设计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泉州师范学院美术与设计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fldChar w:fldCharType="begin"/>
    </w:r>
    <w:r>
      <w:rPr>
        <w:rStyle w:val="21"/>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996A0"/>
    <w:multiLevelType w:val="singleLevel"/>
    <w:tmpl w:val="883996A0"/>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Y2FhMGQxYjI5YjI4OTlmOGU3YTRkMTQ3OTAyN2YifQ=="/>
  </w:docVars>
  <w:rsids>
    <w:rsidRoot w:val="59835B2E"/>
    <w:rsid w:val="034E4A21"/>
    <w:rsid w:val="083B0126"/>
    <w:rsid w:val="0E8D13D6"/>
    <w:rsid w:val="0F44355D"/>
    <w:rsid w:val="115376E2"/>
    <w:rsid w:val="16F7028D"/>
    <w:rsid w:val="173A664E"/>
    <w:rsid w:val="1C4B3D8B"/>
    <w:rsid w:val="1D974856"/>
    <w:rsid w:val="1DD464FF"/>
    <w:rsid w:val="25CB2599"/>
    <w:rsid w:val="2703383A"/>
    <w:rsid w:val="299802D6"/>
    <w:rsid w:val="29AD768A"/>
    <w:rsid w:val="2CEB06B4"/>
    <w:rsid w:val="30EC4E63"/>
    <w:rsid w:val="317054D1"/>
    <w:rsid w:val="32027CF8"/>
    <w:rsid w:val="32FB2F01"/>
    <w:rsid w:val="33C33694"/>
    <w:rsid w:val="3643461A"/>
    <w:rsid w:val="38641F41"/>
    <w:rsid w:val="398F7FD6"/>
    <w:rsid w:val="3B1925BB"/>
    <w:rsid w:val="3B6C1D7D"/>
    <w:rsid w:val="3E002010"/>
    <w:rsid w:val="3F2E1764"/>
    <w:rsid w:val="451F1798"/>
    <w:rsid w:val="4C1307C4"/>
    <w:rsid w:val="4C65575F"/>
    <w:rsid w:val="4C9808FB"/>
    <w:rsid w:val="4E487C6D"/>
    <w:rsid w:val="4F123E7A"/>
    <w:rsid w:val="50AF342B"/>
    <w:rsid w:val="55794C66"/>
    <w:rsid w:val="55CD64D1"/>
    <w:rsid w:val="55D751F9"/>
    <w:rsid w:val="59835B2E"/>
    <w:rsid w:val="5AE34496"/>
    <w:rsid w:val="5D654BBF"/>
    <w:rsid w:val="607C050A"/>
    <w:rsid w:val="65000AA6"/>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CEA2559"/>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7177</Words>
  <Characters>7543</Characters>
  <Lines>0</Lines>
  <Paragraphs>0</Paragraphs>
  <TotalTime>4</TotalTime>
  <ScaleCrop>false</ScaleCrop>
  <LinksUpToDate>false</LinksUpToDate>
  <CharactersWithSpaces>9200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Administrator</cp:lastModifiedBy>
  <cp:lastPrinted>2021-11-24T07:21:00Z</cp:lastPrinted>
  <dcterms:modified xsi:type="dcterms:W3CDTF">2023-05-19T02:09:49Z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1D74DC218C9B4B4FA60CAE48B8569FF5</vt:lpwstr>
  </property>
</Properties>
</file>