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4AAD9">
      <w:pPr>
        <w:spacing w:line="560" w:lineRule="exact"/>
        <w:jc w:val="center"/>
        <w:rPr>
          <w:rFonts w:hint="eastAsia" w:ascii="黑体" w:hAnsi="黑体" w:eastAsia="黑体" w:cs="黑体"/>
          <w:b w:val="0"/>
          <w:bCs/>
          <w:color w:val="auto"/>
          <w:sz w:val="44"/>
          <w:szCs w:val="44"/>
        </w:rPr>
      </w:pPr>
      <w:bookmarkStart w:id="0" w:name="OLE_LINK4"/>
      <w:bookmarkEnd w:id="0"/>
      <w:r>
        <w:rPr>
          <w:rFonts w:hint="eastAsia" w:ascii="黑体" w:hAnsi="黑体" w:eastAsia="黑体" w:cs="黑体"/>
          <w:b w:val="0"/>
          <w:bCs/>
          <w:color w:val="auto"/>
          <w:sz w:val="44"/>
          <w:szCs w:val="44"/>
        </w:rPr>
        <w:t>泉州师范学院美术与设计学院2025年</w:t>
      </w:r>
    </w:p>
    <w:p w14:paraId="311DC8E7">
      <w:pPr>
        <w:spacing w:line="560" w:lineRule="exact"/>
        <w:jc w:val="center"/>
        <w:rPr>
          <w:rFonts w:hint="default" w:ascii="黑体" w:hAnsi="黑体" w:eastAsia="黑体" w:cs="黑体"/>
          <w:b w:val="0"/>
          <w:bCs/>
          <w:color w:val="auto"/>
          <w:sz w:val="44"/>
          <w:szCs w:val="44"/>
          <w:lang w:val="en-US" w:eastAsia="zh-CN"/>
        </w:rPr>
      </w:pPr>
      <w:r>
        <w:rPr>
          <w:rFonts w:hint="eastAsia" w:ascii="黑体" w:hAnsi="黑体" w:eastAsia="黑体" w:cs="黑体"/>
          <w:b w:val="0"/>
          <w:bCs/>
          <w:color w:val="auto"/>
          <w:sz w:val="44"/>
          <w:szCs w:val="44"/>
        </w:rPr>
        <w:t>硕士研究生调剂公告</w:t>
      </w:r>
      <w:r>
        <w:rPr>
          <w:rFonts w:hint="eastAsia" w:ascii="黑体" w:hAnsi="黑体" w:eastAsia="黑体" w:cs="黑体"/>
          <w:b w:val="0"/>
          <w:bCs/>
          <w:color w:val="auto"/>
          <w:sz w:val="44"/>
          <w:szCs w:val="44"/>
          <w:lang w:eastAsia="zh-CN"/>
        </w:rPr>
        <w:t>（</w:t>
      </w:r>
      <w:r>
        <w:rPr>
          <w:rFonts w:hint="eastAsia" w:ascii="黑体" w:hAnsi="黑体" w:eastAsia="黑体" w:cs="黑体"/>
          <w:b w:val="0"/>
          <w:bCs/>
          <w:color w:val="auto"/>
          <w:sz w:val="44"/>
          <w:szCs w:val="44"/>
          <w:lang w:val="en-US" w:eastAsia="zh-CN"/>
        </w:rPr>
        <w:t>2）</w:t>
      </w:r>
    </w:p>
    <w:p w14:paraId="7B9F4B6D">
      <w:pPr>
        <w:spacing w:line="560" w:lineRule="exact"/>
        <w:jc w:val="center"/>
        <w:rPr>
          <w:rFonts w:hint="eastAsia" w:ascii="仿宋" w:hAnsi="仿宋" w:eastAsia="仿宋" w:cs="仿宋"/>
          <w:b/>
          <w:bCs w:val="0"/>
          <w:color w:val="auto"/>
          <w:sz w:val="44"/>
          <w:szCs w:val="44"/>
        </w:rPr>
      </w:pPr>
    </w:p>
    <w:p w14:paraId="636916A6">
      <w:pPr>
        <w:widowControl/>
        <w:shd w:val="clear" w:color="auto" w:fill="FFFFFF"/>
        <w:spacing w:line="52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我院美术与书法专业学位研究生（中国画创作、漆艺创作）招生计划尚有缺额，即将启动</w:t>
      </w:r>
      <w:r>
        <w:rPr>
          <w:rFonts w:hint="eastAsia" w:ascii="仿宋" w:hAnsi="仿宋" w:eastAsia="仿宋" w:cs="仿宋"/>
          <w:color w:val="auto"/>
          <w:kern w:val="0"/>
          <w:sz w:val="32"/>
          <w:szCs w:val="32"/>
          <w:lang w:val="en-US" w:eastAsia="zh-CN"/>
        </w:rPr>
        <w:t>第二轮</w:t>
      </w:r>
      <w:r>
        <w:rPr>
          <w:rFonts w:hint="eastAsia" w:ascii="仿宋" w:hAnsi="仿宋" w:eastAsia="仿宋" w:cs="仿宋"/>
          <w:color w:val="auto"/>
          <w:kern w:val="0"/>
          <w:sz w:val="32"/>
          <w:szCs w:val="32"/>
        </w:rPr>
        <w:t>调剂复试工作，调剂缺额信息如下表，欢迎符合调剂要求的广大考生报考。</w:t>
      </w:r>
    </w:p>
    <w:p w14:paraId="378D8F6E">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一、可调剂专业</w:t>
      </w:r>
      <w:r>
        <w:rPr>
          <w:rFonts w:hint="eastAsia" w:ascii="黑体" w:hAnsi="黑体" w:eastAsia="黑体" w:cs="黑体"/>
          <w:b w:val="0"/>
          <w:bCs/>
          <w:color w:val="auto"/>
          <w:kern w:val="0"/>
          <w:sz w:val="32"/>
          <w:szCs w:val="32"/>
          <w:lang w:eastAsia="zh-CN"/>
        </w:rPr>
        <w:t>（</w:t>
      </w:r>
      <w:r>
        <w:rPr>
          <w:rFonts w:hint="eastAsia" w:ascii="黑体" w:hAnsi="黑体" w:eastAsia="黑体" w:cs="黑体"/>
          <w:b w:val="0"/>
          <w:bCs/>
          <w:color w:val="auto"/>
          <w:kern w:val="0"/>
          <w:sz w:val="32"/>
          <w:szCs w:val="32"/>
        </w:rPr>
        <w:t>方向</w:t>
      </w:r>
      <w:r>
        <w:rPr>
          <w:rFonts w:hint="eastAsia" w:ascii="黑体" w:hAnsi="黑体" w:eastAsia="黑体" w:cs="黑体"/>
          <w:b w:val="0"/>
          <w:bCs/>
          <w:color w:val="auto"/>
          <w:kern w:val="0"/>
          <w:sz w:val="32"/>
          <w:szCs w:val="32"/>
          <w:lang w:eastAsia="zh-CN"/>
        </w:rPr>
        <w:t>）</w:t>
      </w:r>
      <w:r>
        <w:rPr>
          <w:rFonts w:hint="eastAsia" w:ascii="黑体" w:hAnsi="黑体" w:eastAsia="黑体" w:cs="黑体"/>
          <w:b w:val="0"/>
          <w:bCs/>
          <w:color w:val="auto"/>
          <w:kern w:val="0"/>
          <w:sz w:val="32"/>
          <w:szCs w:val="32"/>
        </w:rPr>
        <w:t>及缺额人数</w:t>
      </w:r>
    </w:p>
    <w:tbl>
      <w:tblPr>
        <w:tblStyle w:val="6"/>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75"/>
        <w:gridCol w:w="1267"/>
        <w:gridCol w:w="2660"/>
        <w:gridCol w:w="1758"/>
      </w:tblGrid>
      <w:tr w14:paraId="6005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Borders>
              <w:top w:val="single" w:color="auto" w:sz="4" w:space="0"/>
              <w:left w:val="single" w:color="auto" w:sz="4" w:space="0"/>
              <w:bottom w:val="single" w:color="auto" w:sz="4" w:space="0"/>
              <w:right w:val="single" w:color="auto" w:sz="4" w:space="0"/>
            </w:tcBorders>
            <w:vAlign w:val="center"/>
          </w:tcPr>
          <w:p w14:paraId="7F670DC3">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招生</w:t>
            </w:r>
          </w:p>
          <w:p w14:paraId="2E6E8944">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学院</w:t>
            </w:r>
          </w:p>
        </w:tc>
        <w:tc>
          <w:tcPr>
            <w:tcW w:w="1275" w:type="dxa"/>
            <w:tcBorders>
              <w:top w:val="single" w:color="auto" w:sz="4" w:space="0"/>
              <w:left w:val="nil"/>
              <w:bottom w:val="single" w:color="auto" w:sz="4" w:space="0"/>
              <w:right w:val="single" w:color="auto" w:sz="4" w:space="0"/>
            </w:tcBorders>
            <w:vAlign w:val="center"/>
          </w:tcPr>
          <w:p w14:paraId="12DB6390">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专业</w:t>
            </w:r>
          </w:p>
          <w:p w14:paraId="1A91E180">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代码</w:t>
            </w:r>
          </w:p>
        </w:tc>
        <w:tc>
          <w:tcPr>
            <w:tcW w:w="1267" w:type="dxa"/>
            <w:tcBorders>
              <w:top w:val="single" w:color="auto" w:sz="4" w:space="0"/>
              <w:left w:val="nil"/>
              <w:bottom w:val="single" w:color="auto" w:sz="4" w:space="0"/>
              <w:right w:val="single" w:color="auto" w:sz="4" w:space="0"/>
            </w:tcBorders>
            <w:vAlign w:val="center"/>
          </w:tcPr>
          <w:p w14:paraId="52AE2760">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专业名称</w:t>
            </w:r>
          </w:p>
        </w:tc>
        <w:tc>
          <w:tcPr>
            <w:tcW w:w="2660" w:type="dxa"/>
            <w:tcBorders>
              <w:top w:val="single" w:color="auto" w:sz="4" w:space="0"/>
              <w:left w:val="nil"/>
              <w:bottom w:val="single" w:color="auto" w:sz="4" w:space="0"/>
              <w:right w:val="single" w:color="auto" w:sz="4" w:space="0"/>
            </w:tcBorders>
            <w:vAlign w:val="center"/>
          </w:tcPr>
          <w:p w14:paraId="1C4506BB">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研究方向</w:t>
            </w:r>
          </w:p>
        </w:tc>
        <w:tc>
          <w:tcPr>
            <w:tcW w:w="1758" w:type="dxa"/>
            <w:tcBorders>
              <w:top w:val="single" w:color="auto" w:sz="4" w:space="0"/>
              <w:left w:val="nil"/>
              <w:bottom w:val="single" w:color="auto" w:sz="4" w:space="0"/>
              <w:right w:val="single" w:color="auto" w:sz="4" w:space="0"/>
            </w:tcBorders>
            <w:vAlign w:val="center"/>
          </w:tcPr>
          <w:p w14:paraId="4A747E86">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缺额人数</w:t>
            </w:r>
          </w:p>
        </w:tc>
      </w:tr>
      <w:tr w14:paraId="4DC2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32" w:type="dxa"/>
            <w:vMerge w:val="restart"/>
            <w:tcBorders>
              <w:top w:val="nil"/>
              <w:left w:val="single" w:color="auto" w:sz="4" w:space="0"/>
              <w:right w:val="single" w:color="auto" w:sz="4" w:space="0"/>
            </w:tcBorders>
            <w:vAlign w:val="center"/>
          </w:tcPr>
          <w:p w14:paraId="284EBFEC">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美术与设计学院</w:t>
            </w:r>
          </w:p>
        </w:tc>
        <w:tc>
          <w:tcPr>
            <w:tcW w:w="1275" w:type="dxa"/>
            <w:vMerge w:val="restart"/>
            <w:tcBorders>
              <w:top w:val="nil"/>
              <w:left w:val="nil"/>
              <w:right w:val="single" w:color="auto" w:sz="4" w:space="0"/>
            </w:tcBorders>
            <w:vAlign w:val="center"/>
          </w:tcPr>
          <w:p w14:paraId="1190148F">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1356</w:t>
            </w:r>
          </w:p>
        </w:tc>
        <w:tc>
          <w:tcPr>
            <w:tcW w:w="1267" w:type="dxa"/>
            <w:vMerge w:val="restart"/>
            <w:tcBorders>
              <w:top w:val="nil"/>
              <w:left w:val="nil"/>
              <w:right w:val="single" w:color="auto" w:sz="4" w:space="0"/>
            </w:tcBorders>
            <w:vAlign w:val="center"/>
          </w:tcPr>
          <w:p w14:paraId="4CE8B9B1">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美术与书法</w:t>
            </w:r>
          </w:p>
        </w:tc>
        <w:tc>
          <w:tcPr>
            <w:tcW w:w="2660" w:type="dxa"/>
            <w:tcBorders>
              <w:top w:val="single" w:color="auto" w:sz="4" w:space="0"/>
              <w:left w:val="nil"/>
              <w:bottom w:val="single" w:color="auto" w:sz="4" w:space="0"/>
              <w:right w:val="single" w:color="auto" w:sz="4" w:space="0"/>
            </w:tcBorders>
            <w:vAlign w:val="center"/>
          </w:tcPr>
          <w:p w14:paraId="3A11F273">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中国画创作</w:t>
            </w:r>
          </w:p>
        </w:tc>
        <w:tc>
          <w:tcPr>
            <w:tcW w:w="1758" w:type="dxa"/>
            <w:tcBorders>
              <w:top w:val="single" w:color="auto" w:sz="4" w:space="0"/>
              <w:left w:val="nil"/>
              <w:bottom w:val="single" w:color="auto" w:sz="4" w:space="0"/>
              <w:right w:val="single" w:color="auto" w:sz="4" w:space="0"/>
            </w:tcBorders>
            <w:vAlign w:val="center"/>
          </w:tcPr>
          <w:p w14:paraId="3A1F6289">
            <w:pPr>
              <w:widowControl/>
              <w:spacing w:line="520" w:lineRule="exact"/>
              <w:jc w:val="cente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p>
        </w:tc>
      </w:tr>
      <w:tr w14:paraId="2F91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32" w:type="dxa"/>
            <w:vMerge w:val="continue"/>
            <w:tcBorders>
              <w:left w:val="single" w:color="auto" w:sz="4" w:space="0"/>
              <w:right w:val="single" w:color="auto" w:sz="4" w:space="0"/>
            </w:tcBorders>
            <w:vAlign w:val="center"/>
          </w:tcPr>
          <w:p w14:paraId="2E609308">
            <w:pPr>
              <w:widowControl/>
              <w:jc w:val="left"/>
              <w:rPr>
                <w:rFonts w:hint="eastAsia" w:ascii="仿宋" w:hAnsi="仿宋" w:eastAsia="仿宋" w:cs="仿宋"/>
                <w:color w:val="auto"/>
                <w:kern w:val="0"/>
                <w:sz w:val="32"/>
                <w:szCs w:val="32"/>
              </w:rPr>
            </w:pPr>
          </w:p>
        </w:tc>
        <w:tc>
          <w:tcPr>
            <w:tcW w:w="1275" w:type="dxa"/>
            <w:vMerge w:val="continue"/>
            <w:tcBorders>
              <w:left w:val="nil"/>
              <w:right w:val="single" w:color="auto" w:sz="4" w:space="0"/>
            </w:tcBorders>
            <w:vAlign w:val="center"/>
          </w:tcPr>
          <w:p w14:paraId="2536C711">
            <w:pPr>
              <w:widowControl/>
              <w:jc w:val="left"/>
              <w:rPr>
                <w:rFonts w:hint="eastAsia" w:ascii="仿宋" w:hAnsi="仿宋" w:eastAsia="仿宋" w:cs="仿宋"/>
                <w:color w:val="auto"/>
                <w:kern w:val="0"/>
                <w:sz w:val="32"/>
                <w:szCs w:val="32"/>
              </w:rPr>
            </w:pPr>
          </w:p>
        </w:tc>
        <w:tc>
          <w:tcPr>
            <w:tcW w:w="1267" w:type="dxa"/>
            <w:vMerge w:val="continue"/>
            <w:tcBorders>
              <w:left w:val="nil"/>
              <w:right w:val="single" w:color="auto" w:sz="4" w:space="0"/>
            </w:tcBorders>
            <w:vAlign w:val="center"/>
          </w:tcPr>
          <w:p w14:paraId="37572A30">
            <w:pPr>
              <w:widowControl/>
              <w:jc w:val="left"/>
              <w:rPr>
                <w:rFonts w:hint="eastAsia" w:ascii="仿宋" w:hAnsi="仿宋" w:eastAsia="仿宋" w:cs="仿宋"/>
                <w:color w:val="auto"/>
                <w:kern w:val="0"/>
                <w:sz w:val="32"/>
                <w:szCs w:val="32"/>
              </w:rPr>
            </w:pPr>
          </w:p>
        </w:tc>
        <w:tc>
          <w:tcPr>
            <w:tcW w:w="2660" w:type="dxa"/>
            <w:tcBorders>
              <w:top w:val="single" w:color="auto" w:sz="4" w:space="0"/>
              <w:left w:val="nil"/>
              <w:bottom w:val="single" w:color="auto" w:sz="4" w:space="0"/>
              <w:right w:val="single" w:color="auto" w:sz="4" w:space="0"/>
            </w:tcBorders>
            <w:vAlign w:val="center"/>
          </w:tcPr>
          <w:p w14:paraId="7BBFD9F3">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漆艺创作</w:t>
            </w:r>
          </w:p>
        </w:tc>
        <w:tc>
          <w:tcPr>
            <w:tcW w:w="1758" w:type="dxa"/>
            <w:tcBorders>
              <w:top w:val="single" w:color="auto" w:sz="4" w:space="0"/>
              <w:left w:val="nil"/>
              <w:bottom w:val="single" w:color="auto" w:sz="4" w:space="0"/>
              <w:right w:val="single" w:color="auto" w:sz="4" w:space="0"/>
            </w:tcBorders>
            <w:vAlign w:val="center"/>
          </w:tcPr>
          <w:p w14:paraId="60E6C28F">
            <w:pPr>
              <w:widowControl/>
              <w:spacing w:line="520" w:lineRule="exact"/>
              <w:jc w:val="cente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w:t>
            </w:r>
          </w:p>
        </w:tc>
      </w:tr>
      <w:tr w14:paraId="6DC0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434" w:type="dxa"/>
            <w:gridSpan w:val="4"/>
            <w:tcBorders>
              <w:top w:val="single" w:color="auto" w:sz="4" w:space="0"/>
              <w:left w:val="single" w:color="auto" w:sz="4" w:space="0"/>
              <w:bottom w:val="single" w:color="auto" w:sz="4" w:space="0"/>
              <w:right w:val="single" w:color="auto" w:sz="4" w:space="0"/>
            </w:tcBorders>
            <w:vAlign w:val="center"/>
          </w:tcPr>
          <w:p w14:paraId="084C041E">
            <w:pPr>
              <w:widowControl/>
              <w:spacing w:line="52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合计</w:t>
            </w:r>
          </w:p>
        </w:tc>
        <w:tc>
          <w:tcPr>
            <w:tcW w:w="1758" w:type="dxa"/>
            <w:tcBorders>
              <w:top w:val="single" w:color="auto" w:sz="4" w:space="0"/>
              <w:left w:val="nil"/>
              <w:bottom w:val="single" w:color="auto" w:sz="4" w:space="0"/>
              <w:right w:val="single" w:color="auto" w:sz="4" w:space="0"/>
            </w:tcBorders>
            <w:vAlign w:val="center"/>
          </w:tcPr>
          <w:p w14:paraId="6B4521AA">
            <w:pPr>
              <w:widowControl/>
              <w:spacing w:line="520" w:lineRule="exact"/>
              <w:jc w:val="center"/>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w:t>
            </w:r>
          </w:p>
        </w:tc>
      </w:tr>
    </w:tbl>
    <w:p w14:paraId="55CAA90D">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二、调剂时间安排</w:t>
      </w:r>
    </w:p>
    <w:p w14:paraId="62C0A2A1">
      <w:pPr>
        <w:autoSpaceDE w:val="0"/>
        <w:adjustRightInd w:val="0"/>
        <w:snapToGrid w:val="0"/>
        <w:spacing w:line="520" w:lineRule="exact"/>
        <w:ind w:firstLine="627" w:firstLineChars="196"/>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1.考生登录中国研究生招生信息网的调剂服务系统填报调剂志愿（网址：http://yz.chsi.com.cn/yztj/）。我院调剂复试工作安排如下：</w:t>
      </w:r>
    </w:p>
    <w:p w14:paraId="0F2BFC47">
      <w:pPr>
        <w:widowControl/>
        <w:spacing w:line="52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①</w:t>
      </w:r>
      <w:r>
        <w:rPr>
          <w:rFonts w:hint="eastAsia" w:ascii="仿宋" w:hAnsi="仿宋" w:eastAsia="仿宋" w:cs="仿宋"/>
          <w:color w:val="auto"/>
          <w:kern w:val="0"/>
          <w:sz w:val="32"/>
          <w:szCs w:val="32"/>
        </w:rPr>
        <w:t>我院调剂窗口开放时间为202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年4月</w:t>
      </w:r>
      <w:r>
        <w:rPr>
          <w:rFonts w:hint="eastAsia" w:ascii="仿宋" w:hAnsi="仿宋" w:eastAsia="仿宋" w:cs="仿宋"/>
          <w:color w:val="auto"/>
          <w:kern w:val="0"/>
          <w:sz w:val="32"/>
          <w:szCs w:val="32"/>
          <w:lang w:eastAsia="zh-CN"/>
        </w:rPr>
        <w:t>14</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16</w:t>
      </w:r>
      <w:r>
        <w:rPr>
          <w:rFonts w:hint="eastAsia" w:ascii="仿宋" w:hAnsi="仿宋" w:eastAsia="仿宋" w:cs="仿宋"/>
          <w:color w:val="auto"/>
          <w:kern w:val="0"/>
          <w:sz w:val="32"/>
          <w:szCs w:val="32"/>
        </w:rPr>
        <w:t>:00；关闭时间为202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年4月</w:t>
      </w:r>
      <w:r>
        <w:rPr>
          <w:rFonts w:hint="eastAsia" w:ascii="仿宋" w:hAnsi="仿宋" w:eastAsia="仿宋" w:cs="仿宋"/>
          <w:color w:val="auto"/>
          <w:kern w:val="0"/>
          <w:sz w:val="32"/>
          <w:szCs w:val="32"/>
          <w:lang w:eastAsia="zh-CN"/>
        </w:rPr>
        <w:t>15</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10</w:t>
      </w:r>
      <w:r>
        <w:rPr>
          <w:rFonts w:hint="eastAsia" w:ascii="仿宋" w:hAnsi="仿宋" w:eastAsia="仿宋" w:cs="仿宋"/>
          <w:color w:val="auto"/>
          <w:kern w:val="0"/>
          <w:sz w:val="32"/>
          <w:szCs w:val="32"/>
        </w:rPr>
        <w:t>:00。符合调剂要求的考生可在调剂系统开放后填报调剂申请；</w:t>
      </w:r>
      <w:r>
        <w:rPr>
          <w:rFonts w:hint="eastAsia" w:ascii="仿宋" w:hAnsi="仿宋" w:eastAsia="仿宋" w:cs="仿宋"/>
          <w:color w:val="auto"/>
          <w:sz w:val="32"/>
          <w:szCs w:val="32"/>
        </w:rPr>
        <w:t>调剂考生调剂志愿锁定时间为24小时，锁定时间到达后，如</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院未明确受理意见，系统自动解锁，考生可修改本调剂志愿。请考生在填报志愿时认真查看调剂要求，在志愿锁定时间内我校不予解锁。</w:t>
      </w:r>
    </w:p>
    <w:p w14:paraId="72BC3030">
      <w:pPr>
        <w:autoSpaceDE w:val="0"/>
        <w:adjustRightInd w:val="0"/>
        <w:snapToGrid w:val="0"/>
        <w:spacing w:line="520" w:lineRule="exact"/>
        <w:ind w:firstLine="627" w:firstLineChars="196"/>
        <w:rPr>
          <w:rFonts w:hint="eastAsia" w:ascii="仿宋" w:hAnsi="仿宋" w:eastAsia="仿宋" w:cs="仿宋"/>
          <w:color w:val="auto"/>
          <w:kern w:val="0"/>
          <w:sz w:val="32"/>
          <w:szCs w:val="32"/>
        </w:rPr>
      </w:pPr>
      <w:r>
        <w:rPr>
          <w:rFonts w:hint="eastAsia" w:ascii="仿宋" w:hAnsi="仿宋" w:eastAsia="仿宋" w:cs="仿宋"/>
          <w:color w:val="auto"/>
          <w:sz w:val="32"/>
          <w:szCs w:val="32"/>
        </w:rPr>
        <w:t>②</w:t>
      </w:r>
      <w:r>
        <w:rPr>
          <w:rFonts w:hint="eastAsia" w:ascii="仿宋" w:hAnsi="仿宋" w:eastAsia="仿宋" w:cs="仿宋"/>
          <w:color w:val="auto"/>
          <w:kern w:val="0"/>
          <w:sz w:val="32"/>
          <w:szCs w:val="32"/>
        </w:rPr>
        <w:t>拟于4月</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eastAsia="zh-CN"/>
        </w:rPr>
        <w:t>下午</w:t>
      </w:r>
      <w:r>
        <w:rPr>
          <w:rFonts w:hint="eastAsia" w:ascii="仿宋" w:hAnsi="仿宋" w:eastAsia="仿宋" w:cs="仿宋"/>
          <w:color w:val="auto"/>
          <w:kern w:val="0"/>
          <w:sz w:val="32"/>
          <w:szCs w:val="32"/>
        </w:rPr>
        <w:t>发送复试通知，请收到复试通知的考生尽快确认；</w:t>
      </w:r>
    </w:p>
    <w:p w14:paraId="1EB6BF66">
      <w:pPr>
        <w:autoSpaceDE w:val="0"/>
        <w:adjustRightInd w:val="0"/>
        <w:snapToGrid w:val="0"/>
        <w:spacing w:line="520" w:lineRule="exact"/>
        <w:ind w:firstLine="627" w:firstLineChars="196"/>
        <w:rPr>
          <w:rFonts w:hint="eastAsia" w:ascii="仿宋" w:hAnsi="仿宋" w:eastAsia="仿宋" w:cs="仿宋"/>
          <w:color w:val="auto"/>
          <w:kern w:val="0"/>
          <w:sz w:val="32"/>
          <w:szCs w:val="32"/>
        </w:rPr>
      </w:pPr>
      <w:r>
        <w:rPr>
          <w:rFonts w:hint="eastAsia" w:ascii="仿宋" w:hAnsi="仿宋" w:eastAsia="仿宋" w:cs="仿宋"/>
          <w:color w:val="auto"/>
          <w:sz w:val="32"/>
          <w:szCs w:val="32"/>
        </w:rPr>
        <w:t>③</w:t>
      </w:r>
      <w:r>
        <w:rPr>
          <w:rFonts w:hint="eastAsia" w:ascii="仿宋" w:hAnsi="仿宋" w:eastAsia="仿宋" w:cs="仿宋"/>
          <w:color w:val="auto"/>
          <w:sz w:val="32"/>
          <w:szCs w:val="32"/>
          <w:lang w:eastAsia="zh-CN"/>
        </w:rPr>
        <w:t>学院</w:t>
      </w:r>
      <w:r>
        <w:rPr>
          <w:rFonts w:hint="eastAsia" w:ascii="仿宋" w:hAnsi="仿宋" w:eastAsia="仿宋" w:cs="仿宋"/>
          <w:color w:val="auto"/>
          <w:kern w:val="0"/>
          <w:sz w:val="32"/>
          <w:szCs w:val="32"/>
        </w:rPr>
        <w:t>拟</w:t>
      </w:r>
      <w:r>
        <w:rPr>
          <w:rFonts w:hint="eastAsia" w:ascii="仿宋" w:hAnsi="仿宋" w:eastAsia="仿宋" w:cs="仿宋"/>
          <w:color w:val="auto"/>
          <w:kern w:val="0"/>
          <w:sz w:val="32"/>
          <w:szCs w:val="32"/>
          <w:lang w:eastAsia="zh-CN"/>
        </w:rPr>
        <w:t>安排</w:t>
      </w:r>
      <w:r>
        <w:rPr>
          <w:rFonts w:hint="eastAsia" w:ascii="仿宋" w:hAnsi="仿宋" w:eastAsia="仿宋" w:cs="仿宋"/>
          <w:color w:val="auto"/>
          <w:kern w:val="0"/>
          <w:sz w:val="32"/>
          <w:szCs w:val="32"/>
        </w:rPr>
        <w:t>4月1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日上午9:00-11:</w:t>
      </w:r>
      <w:r>
        <w:rPr>
          <w:rFonts w:hint="eastAsia" w:ascii="仿宋" w:hAnsi="仿宋" w:eastAsia="仿宋" w:cs="仿宋"/>
          <w:color w:val="auto"/>
          <w:kern w:val="0"/>
          <w:sz w:val="32"/>
          <w:szCs w:val="32"/>
          <w:lang w:val="en-US" w:eastAsia="zh-CN"/>
        </w:rPr>
        <w:t>30考生</w:t>
      </w:r>
      <w:r>
        <w:rPr>
          <w:rFonts w:hint="eastAsia" w:ascii="仿宋" w:hAnsi="仿宋" w:eastAsia="仿宋" w:cs="仿宋"/>
          <w:color w:val="auto"/>
          <w:kern w:val="0"/>
          <w:sz w:val="32"/>
          <w:szCs w:val="32"/>
          <w:lang w:eastAsia="zh-CN"/>
        </w:rPr>
        <w:t>报到</w:t>
      </w:r>
      <w:r>
        <w:rPr>
          <w:rFonts w:hint="eastAsia" w:ascii="仿宋" w:hAnsi="仿宋" w:eastAsia="仿宋" w:cs="仿宋"/>
          <w:color w:val="auto"/>
          <w:kern w:val="0"/>
          <w:sz w:val="32"/>
          <w:szCs w:val="32"/>
        </w:rPr>
        <w:t>；</w:t>
      </w:r>
      <w:bookmarkStart w:id="1" w:name="_GoBack"/>
      <w:bookmarkEnd w:id="1"/>
    </w:p>
    <w:p w14:paraId="28379AFB">
      <w:pPr>
        <w:autoSpaceDE w:val="0"/>
        <w:adjustRightInd w:val="0"/>
        <w:snapToGrid w:val="0"/>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④</w:t>
      </w:r>
      <w:r>
        <w:rPr>
          <w:rFonts w:hint="eastAsia" w:ascii="仿宋" w:hAnsi="仿宋" w:eastAsia="仿宋" w:cs="仿宋"/>
          <w:b/>
          <w:bCs/>
          <w:color w:val="auto"/>
          <w:kern w:val="0"/>
          <w:sz w:val="32"/>
          <w:szCs w:val="32"/>
        </w:rPr>
        <w:t>复试笔试</w:t>
      </w:r>
      <w:r>
        <w:rPr>
          <w:rFonts w:hint="eastAsia" w:ascii="仿宋" w:hAnsi="仿宋" w:eastAsia="仿宋" w:cs="仿宋"/>
          <w:color w:val="auto"/>
          <w:kern w:val="0"/>
          <w:sz w:val="32"/>
          <w:szCs w:val="32"/>
        </w:rPr>
        <w:t>时间拟</w:t>
      </w:r>
      <w:r>
        <w:rPr>
          <w:rFonts w:hint="eastAsia" w:ascii="仿宋" w:hAnsi="仿宋" w:eastAsia="仿宋" w:cs="仿宋"/>
          <w:color w:val="auto"/>
          <w:kern w:val="0"/>
          <w:sz w:val="32"/>
          <w:szCs w:val="32"/>
          <w:lang w:val="en-US" w:eastAsia="zh-CN"/>
        </w:rPr>
        <w:t>安排在</w:t>
      </w:r>
      <w:r>
        <w:rPr>
          <w:rFonts w:hint="eastAsia" w:ascii="仿宋" w:hAnsi="仿宋" w:eastAsia="仿宋" w:cs="仿宋"/>
          <w:color w:val="auto"/>
          <w:kern w:val="0"/>
          <w:sz w:val="32"/>
          <w:szCs w:val="32"/>
        </w:rPr>
        <w:t>4月1</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 xml:space="preserve">日15:00-18:00; </w:t>
      </w:r>
      <w:r>
        <w:rPr>
          <w:rFonts w:hint="eastAsia" w:ascii="仿宋" w:hAnsi="仿宋" w:eastAsia="仿宋" w:cs="仿宋"/>
          <w:b/>
          <w:bCs/>
          <w:color w:val="auto"/>
          <w:kern w:val="0"/>
          <w:sz w:val="32"/>
          <w:szCs w:val="32"/>
        </w:rPr>
        <w:t>复试面试</w:t>
      </w:r>
      <w:r>
        <w:rPr>
          <w:rFonts w:hint="eastAsia" w:ascii="仿宋" w:hAnsi="仿宋" w:eastAsia="仿宋" w:cs="仿宋"/>
          <w:color w:val="auto"/>
          <w:kern w:val="0"/>
          <w:sz w:val="32"/>
          <w:szCs w:val="32"/>
        </w:rPr>
        <w:t>时间拟</w:t>
      </w:r>
      <w:r>
        <w:rPr>
          <w:rFonts w:hint="eastAsia" w:ascii="仿宋" w:hAnsi="仿宋" w:eastAsia="仿宋" w:cs="仿宋"/>
          <w:color w:val="auto"/>
          <w:kern w:val="0"/>
          <w:sz w:val="32"/>
          <w:szCs w:val="32"/>
          <w:lang w:val="en-US" w:eastAsia="zh-CN"/>
        </w:rPr>
        <w:t>安排在</w:t>
      </w:r>
      <w:r>
        <w:rPr>
          <w:rFonts w:hint="eastAsia" w:ascii="仿宋" w:hAnsi="仿宋" w:eastAsia="仿宋" w:cs="仿宋"/>
          <w:color w:val="auto"/>
          <w:kern w:val="0"/>
          <w:sz w:val="32"/>
          <w:szCs w:val="32"/>
        </w:rPr>
        <w:t>4月1</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日</w:t>
      </w:r>
      <w:r>
        <w:rPr>
          <w:rFonts w:hint="eastAsia" w:ascii="仿宋" w:hAnsi="仿宋" w:eastAsia="仿宋" w:cs="仿宋"/>
          <w:color w:val="auto"/>
          <w:kern w:val="0"/>
          <w:sz w:val="32"/>
          <w:szCs w:val="32"/>
          <w:lang w:val="en-US" w:eastAsia="zh-CN"/>
        </w:rPr>
        <w:t>9</w:t>
      </w:r>
      <w:r>
        <w:rPr>
          <w:rFonts w:hint="eastAsia" w:ascii="仿宋" w:hAnsi="仿宋" w:eastAsia="仿宋" w:cs="仿宋"/>
          <w:color w:val="auto"/>
          <w:kern w:val="0"/>
          <w:sz w:val="32"/>
          <w:szCs w:val="32"/>
        </w:rPr>
        <w:t>:00-1</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:00。</w:t>
      </w:r>
    </w:p>
    <w:p w14:paraId="64E7ED3B">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三、调剂基本条件及要求</w:t>
      </w:r>
    </w:p>
    <w:p w14:paraId="7FDC74AE">
      <w:pPr>
        <w:pageBreakBefore w:val="0"/>
        <w:widowControl/>
        <w:shd w:val="clear" w:color="auto" w:fill="FFFFFF"/>
        <w:kinsoku/>
        <w:overflowPunct/>
        <w:topLinePunct w:val="0"/>
        <w:autoSpaceDE/>
        <w:autoSpaceDN/>
        <w:bidi w:val="0"/>
        <w:adjustRightInd w:val="0"/>
        <w:spacing w:line="500" w:lineRule="exact"/>
        <w:ind w:firstLine="630" w:firstLineChars="196"/>
        <w:jc w:val="left"/>
        <w:textAlignment w:val="auto"/>
        <w:rPr>
          <w:rFonts w:hint="eastAsia" w:ascii="仿宋" w:hAnsi="仿宋" w:eastAsia="仿宋" w:cs="仿宋"/>
          <w:b/>
          <w:bCs/>
          <w:color w:val="auto"/>
          <w:kern w:val="0"/>
          <w:sz w:val="32"/>
          <w:szCs w:val="32"/>
          <w:lang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调剂基本</w:t>
      </w:r>
      <w:r>
        <w:rPr>
          <w:rFonts w:hint="eastAsia" w:ascii="仿宋" w:hAnsi="仿宋" w:eastAsia="仿宋" w:cs="仿宋"/>
          <w:b/>
          <w:bCs/>
          <w:color w:val="auto"/>
          <w:kern w:val="0"/>
          <w:sz w:val="32"/>
          <w:szCs w:val="32"/>
          <w:lang w:eastAsia="zh-CN"/>
        </w:rPr>
        <w:t>条件</w:t>
      </w:r>
    </w:p>
    <w:p w14:paraId="66BA5B6B">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①符合</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院调入专业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方向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的报考条件；</w:t>
      </w:r>
    </w:p>
    <w:p w14:paraId="346BD193">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②初试成绩符合全国A类考生初试成绩基本要求；</w:t>
      </w:r>
    </w:p>
    <w:p w14:paraId="0F097362">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③调入专业</w:t>
      </w:r>
      <w:r>
        <w:rPr>
          <w:rFonts w:hint="eastAsia" w:ascii="仿宋" w:hAnsi="仿宋" w:eastAsia="仿宋" w:cs="仿宋"/>
          <w:color w:val="auto"/>
          <w:sz w:val="32"/>
          <w:szCs w:val="32"/>
          <w:lang w:val="en-US" w:eastAsia="zh-CN"/>
        </w:rPr>
        <w:t>(方向)</w:t>
      </w:r>
      <w:r>
        <w:rPr>
          <w:rFonts w:hint="eastAsia" w:ascii="仿宋" w:hAnsi="仿宋" w:eastAsia="仿宋" w:cs="仿宋"/>
          <w:color w:val="auto"/>
          <w:sz w:val="32"/>
          <w:szCs w:val="32"/>
        </w:rPr>
        <w:t>与第一志愿报考专业</w:t>
      </w:r>
      <w:r>
        <w:rPr>
          <w:rFonts w:hint="eastAsia" w:ascii="仿宋" w:hAnsi="仿宋" w:eastAsia="仿宋" w:cs="仿宋"/>
          <w:color w:val="auto"/>
          <w:sz w:val="32"/>
          <w:szCs w:val="32"/>
          <w:lang w:eastAsia="zh-CN"/>
        </w:rPr>
        <w:t>（方向）</w:t>
      </w:r>
      <w:r>
        <w:rPr>
          <w:rFonts w:hint="eastAsia" w:ascii="仿宋" w:hAnsi="仿宋" w:eastAsia="仿宋" w:cs="仿宋"/>
          <w:color w:val="auto"/>
          <w:sz w:val="32"/>
          <w:szCs w:val="32"/>
        </w:rPr>
        <w:t>相同相近;</w:t>
      </w:r>
      <w:r>
        <w:rPr>
          <w:rFonts w:hint="eastAsia" w:ascii="仿宋" w:hAnsi="仿宋" w:eastAsia="仿宋" w:cs="仿宋"/>
          <w:color w:val="auto"/>
          <w:sz w:val="32"/>
          <w:szCs w:val="32"/>
          <w:lang w:val="en-US" w:eastAsia="zh-CN"/>
        </w:rPr>
        <w:t>或</w:t>
      </w:r>
      <w:r>
        <w:rPr>
          <w:rFonts w:hint="eastAsia" w:ascii="仿宋" w:hAnsi="仿宋" w:eastAsia="仿宋" w:cs="仿宋"/>
          <w:color w:val="auto"/>
          <w:sz w:val="32"/>
          <w:szCs w:val="32"/>
        </w:rPr>
        <w:t>初试科目与调入专业初试科目相同相近，其中初试全国统一命题科目应与调入专业全国统一命题科目相同；</w:t>
      </w:r>
    </w:p>
    <w:p w14:paraId="40A73E10">
      <w:pPr>
        <w:widowControl/>
        <w:spacing w:line="52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④身体健康状况符合规定的体检标准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 </w:t>
      </w:r>
    </w:p>
    <w:p w14:paraId="6E76AD74">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⑤其他未说明的事项，以上级文件为准。</w:t>
      </w:r>
    </w:p>
    <w:p w14:paraId="7BB3835E">
      <w:pPr>
        <w:pageBreakBefore w:val="0"/>
        <w:widowControl/>
        <w:shd w:val="clear" w:color="auto" w:fill="FFFFFF"/>
        <w:kinsoku/>
        <w:overflowPunct/>
        <w:topLinePunct w:val="0"/>
        <w:autoSpaceDE/>
        <w:autoSpaceDN/>
        <w:bidi w:val="0"/>
        <w:adjustRightInd w:val="0"/>
        <w:spacing w:line="500" w:lineRule="exact"/>
        <w:ind w:firstLine="630" w:firstLineChars="196"/>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2.</w:t>
      </w:r>
      <w:r>
        <w:rPr>
          <w:rFonts w:hint="eastAsia" w:ascii="仿宋" w:hAnsi="仿宋" w:eastAsia="仿宋" w:cs="仿宋"/>
          <w:b/>
          <w:bCs/>
          <w:color w:val="auto"/>
          <w:kern w:val="0"/>
          <w:sz w:val="32"/>
          <w:szCs w:val="32"/>
        </w:rPr>
        <w:t>调剂要求</w:t>
      </w:r>
    </w:p>
    <w:p w14:paraId="71B23300">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①按</w:t>
      </w:r>
      <w:r>
        <w:rPr>
          <w:rFonts w:hint="eastAsia" w:ascii="仿宋" w:hAnsi="仿宋" w:eastAsia="仿宋" w:cs="仿宋"/>
          <w:color w:val="auto"/>
          <w:sz w:val="32"/>
          <w:szCs w:val="32"/>
          <w:lang w:val="en-US" w:eastAsia="zh-CN"/>
        </w:rPr>
        <w:t>一志愿报考</w:t>
      </w:r>
      <w:r>
        <w:rPr>
          <w:rFonts w:hint="eastAsia" w:ascii="仿宋" w:hAnsi="仿宋" w:eastAsia="仿宋" w:cs="仿宋"/>
          <w:color w:val="auto"/>
          <w:sz w:val="32"/>
          <w:szCs w:val="32"/>
        </w:rPr>
        <w:t>专业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方向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与调入专业（方向）相同的考生</w:t>
      </w:r>
      <w:r>
        <w:rPr>
          <w:rFonts w:hint="eastAsia" w:ascii="仿宋" w:hAnsi="仿宋" w:eastAsia="仿宋" w:cs="仿宋"/>
          <w:color w:val="auto"/>
          <w:sz w:val="32"/>
          <w:szCs w:val="32"/>
        </w:rPr>
        <w:t>初试总成绩从高到低确定进入调剂复试</w:t>
      </w:r>
      <w:r>
        <w:rPr>
          <w:rFonts w:hint="eastAsia" w:ascii="仿宋" w:hAnsi="仿宋" w:eastAsia="仿宋" w:cs="仿宋"/>
          <w:color w:val="auto"/>
          <w:sz w:val="32"/>
          <w:szCs w:val="32"/>
          <w:lang w:val="en-US" w:eastAsia="zh-CN"/>
        </w:rPr>
        <w:t>考生名单</w:t>
      </w:r>
      <w:r>
        <w:rPr>
          <w:rFonts w:hint="eastAsia" w:ascii="仿宋" w:hAnsi="仿宋" w:eastAsia="仿宋" w:cs="仿宋"/>
          <w:color w:val="auto"/>
          <w:sz w:val="32"/>
          <w:szCs w:val="32"/>
        </w:rPr>
        <w:t>，名额未满情况下，在第一志愿报考专业为美术与书法（代码1356）的调剂考生中，按照初试成绩从高到低确定进入复试名单。总成绩相同的，则按</w:t>
      </w:r>
      <w:r>
        <w:rPr>
          <w:rFonts w:hint="eastAsia" w:ascii="仿宋" w:hAnsi="仿宋" w:eastAsia="仿宋" w:cs="仿宋"/>
          <w:color w:val="auto"/>
          <w:sz w:val="32"/>
          <w:szCs w:val="32"/>
          <w:lang w:eastAsia="zh-CN"/>
        </w:rPr>
        <w:t>业务课</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业务课</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平均得分高低排序进入复试；如果</w:t>
      </w:r>
      <w:r>
        <w:rPr>
          <w:rFonts w:hint="eastAsia" w:ascii="仿宋" w:hAnsi="仿宋" w:eastAsia="仿宋" w:cs="仿宋"/>
          <w:color w:val="auto"/>
          <w:sz w:val="32"/>
          <w:szCs w:val="32"/>
          <w:lang w:eastAsia="zh-CN"/>
        </w:rPr>
        <w:t>业务课</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业务课</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平均得分相同，思想政治理论考试成绩高者进入复试。不接收报考专业为美术与书法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专业代码1356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研究方向为书法的调剂考生。</w:t>
      </w:r>
    </w:p>
    <w:p w14:paraId="6480F8F4">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②</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院接收的所有调剂考生（既包括接收外单位调剂考生，也包括接收本单位内部调剂考生）必须通过教育部指定的“全国硕士生招生调剂服务系统”进行。未通过该系统录取的调剂考生一律无效。</w:t>
      </w:r>
    </w:p>
    <w:p w14:paraId="48CAD859">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③</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院在“全国硕士生招生调剂服务系统”公布生源缺额信息及调剂要求，利用该系统为考生调剂提供服务。</w:t>
      </w:r>
    </w:p>
    <w:p w14:paraId="697F10C0">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④每次开放调剂系统持续时间为12小时。报考</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院的调剂生调剂志愿锁定时间为24小时，锁定时间到达后，如</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院未明确受理意见，系统自动解锁，考生可修改本调剂志愿。请考生在填报志愿时认真查看调剂要求，在志愿锁定时间内我校不予解锁。</w:t>
      </w:r>
    </w:p>
    <w:p w14:paraId="076DA30C">
      <w:pPr>
        <w:adjustRightInd w:val="0"/>
        <w:snapToGrid w:val="0"/>
        <w:spacing w:line="52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3</w:t>
      </w:r>
      <w:r>
        <w:rPr>
          <w:rFonts w:hint="eastAsia" w:ascii="仿宋" w:hAnsi="仿宋" w:eastAsia="仿宋" w:cs="仿宋"/>
          <w:b/>
          <w:bCs/>
          <w:color w:val="auto"/>
          <w:sz w:val="32"/>
          <w:szCs w:val="32"/>
          <w:lang w:val="en-US" w:eastAsia="zh-CN"/>
        </w:rPr>
        <w:t>.</w:t>
      </w:r>
      <w:r>
        <w:rPr>
          <w:rFonts w:hint="eastAsia" w:ascii="仿宋" w:hAnsi="仿宋" w:eastAsia="仿宋" w:cs="仿宋"/>
          <w:b/>
          <w:bCs/>
          <w:color w:val="auto"/>
          <w:sz w:val="32"/>
          <w:szCs w:val="32"/>
        </w:rPr>
        <w:t>调剂程序</w:t>
      </w:r>
    </w:p>
    <w:p w14:paraId="5F1E9CB9">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①</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院在调剂系统发布生源缺额信息及调剂要求；</w:t>
      </w:r>
    </w:p>
    <w:p w14:paraId="5EC3E310">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②符合调剂要求的考生在调剂系统上填报调剂申请；</w:t>
      </w:r>
    </w:p>
    <w:p w14:paraId="3B6C5C42">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③</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院对符合调剂要求的考生发送复试通知并通知考生网上确认；</w:t>
      </w:r>
    </w:p>
    <w:p w14:paraId="630E428F">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④</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rPr>
        <w:t>院组织调剂考生进行复试；</w:t>
      </w:r>
    </w:p>
    <w:p w14:paraId="31C0E045">
      <w:pPr>
        <w:widowControl/>
        <w:spacing w:line="52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⑤调剂考生在调剂系统接到“复试通知”和“待录取通知”后，必须在6小时内确认（晚22:00-次日早8:00时段不计），未按照要求在规定时间内确认“复试通知”和“待录取通知”的考生，经逐一联系后仍未确认的，将取消复试资格和拟录取资格，相关记录存档备查，对已接受我校待录取的考生,我校一律不予解锁。</w:t>
      </w:r>
    </w:p>
    <w:p w14:paraId="4FFBF6FE">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四、考生需提交的材料</w:t>
      </w:r>
    </w:p>
    <w:p w14:paraId="68AA3B5D">
      <w:pPr>
        <w:widowControl/>
        <w:shd w:val="clear" w:color="auto" w:fill="FFFFFF"/>
        <w:autoSpaceDE w:val="0"/>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参加复试的考生须</w:t>
      </w:r>
      <w:r>
        <w:rPr>
          <w:rFonts w:hint="eastAsia" w:ascii="仿宋" w:hAnsi="仿宋" w:eastAsia="仿宋" w:cs="仿宋"/>
          <w:color w:val="auto"/>
          <w:sz w:val="32"/>
          <w:szCs w:val="32"/>
          <w:shd w:val="clear" w:color="auto" w:fill="FFFFFF"/>
        </w:rPr>
        <w:t>于报到当天提交审查材料</w:t>
      </w:r>
      <w:r>
        <w:rPr>
          <w:rFonts w:hint="eastAsia" w:ascii="仿宋" w:hAnsi="仿宋" w:eastAsia="仿宋" w:cs="仿宋"/>
          <w:b/>
          <w:bCs/>
          <w:color w:val="auto"/>
          <w:sz w:val="32"/>
          <w:szCs w:val="32"/>
          <w:shd w:val="clear" w:color="auto" w:fill="FFFFFF"/>
        </w:rPr>
        <w:t>，审核通过后，方可参加复试。</w:t>
      </w:r>
      <w:r>
        <w:rPr>
          <w:rFonts w:hint="eastAsia" w:ascii="仿宋" w:hAnsi="仿宋" w:eastAsia="仿宋" w:cs="仿宋"/>
          <w:color w:val="auto"/>
          <w:kern w:val="0"/>
          <w:sz w:val="32"/>
          <w:szCs w:val="32"/>
        </w:rPr>
        <w:t>考生复试时须携带本人以下材料到美院接受审查：</w:t>
      </w:r>
    </w:p>
    <w:p w14:paraId="62519F3D">
      <w:pPr>
        <w:widowControl/>
        <w:shd w:val="clear" w:color="auto" w:fill="FFFFFF"/>
        <w:adjustRightInd w:val="0"/>
        <w:spacing w:line="52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1.签订《诚信复试承诺书》，报到当天学院组织填写；</w:t>
      </w:r>
    </w:p>
    <w:p w14:paraId="1D2D0E48">
      <w:pPr>
        <w:adjustRightInd w:val="0"/>
        <w:snapToGrid w:val="0"/>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2.填写完整并密封完好的《泉州师范学院硕士研究生思想政治素质和品德考核表》，该表可在泉州师范学院研究生招生信息网：</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"http://www.qztc.edu.cn/yjszsw资料下载处下载）。" </w:instrText>
      </w:r>
      <w:r>
        <w:rPr>
          <w:rFonts w:hint="eastAsia" w:ascii="仿宋" w:hAnsi="仿宋" w:eastAsia="仿宋" w:cs="仿宋"/>
          <w:color w:val="auto"/>
          <w:sz w:val="32"/>
          <w:szCs w:val="32"/>
        </w:rPr>
        <w:fldChar w:fldCharType="separate"/>
      </w:r>
      <w:r>
        <w:rPr>
          <w:rStyle w:val="11"/>
          <w:rFonts w:hint="eastAsia" w:ascii="仿宋" w:hAnsi="仿宋" w:eastAsia="仿宋" w:cs="仿宋"/>
          <w:color w:val="auto"/>
          <w:kern w:val="0"/>
          <w:sz w:val="32"/>
          <w:szCs w:val="32"/>
        </w:rPr>
        <w:t>http://www.qztc.edu.cn/yjszsw资料下载处下载</w:t>
      </w:r>
      <w:r>
        <w:rPr>
          <w:rFonts w:hint="eastAsia" w:ascii="仿宋" w:hAnsi="仿宋" w:eastAsia="仿宋" w:cs="仿宋"/>
          <w:color w:val="auto"/>
          <w:sz w:val="32"/>
          <w:szCs w:val="32"/>
        </w:rPr>
        <w:t>）；</w:t>
      </w:r>
      <w:r>
        <w:rPr>
          <w:rStyle w:val="8"/>
          <w:rFonts w:hint="eastAsia" w:ascii="仿宋" w:hAnsi="仿宋" w:eastAsia="仿宋" w:cs="仿宋"/>
          <w:color w:val="auto"/>
          <w:kern w:val="0"/>
          <w:sz w:val="32"/>
          <w:szCs w:val="32"/>
        </w:rPr>
        <w:fldChar w:fldCharType="end"/>
      </w:r>
      <w:r>
        <w:rPr>
          <w:rFonts w:hint="eastAsia" w:ascii="仿宋" w:hAnsi="仿宋" w:eastAsia="仿宋" w:cs="仿宋"/>
          <w:color w:val="auto"/>
          <w:sz w:val="32"/>
          <w:szCs w:val="32"/>
        </w:rPr>
        <w:t>该表一般由考生人事（学籍）档案所在单位填写、签字并盖章；若考生档案由工作单位寄挂在人才市场，则由考生工作单位填写、签字并盖章；</w:t>
      </w:r>
    </w:p>
    <w:p w14:paraId="3A417231">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3.本人二代身份证原件和复印件（须在有效期内）；</w:t>
      </w:r>
    </w:p>
    <w:p w14:paraId="08403FA7">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w:t>
      </w:r>
      <w:r>
        <w:rPr>
          <w:rFonts w:hint="eastAsia" w:ascii="仿宋" w:hAnsi="仿宋" w:eastAsia="仿宋" w:cs="仿宋"/>
          <w:color w:val="auto"/>
          <w:kern w:val="0"/>
          <w:sz w:val="32"/>
          <w:szCs w:val="32"/>
          <w:lang w:val="en-US" w:eastAsia="zh-CN"/>
        </w:rPr>
        <w:t>2025年全国硕士研究生招生考试准考证</w:t>
      </w:r>
      <w:r>
        <w:rPr>
          <w:rFonts w:hint="eastAsia" w:ascii="仿宋" w:hAnsi="仿宋" w:eastAsia="仿宋" w:cs="仿宋"/>
          <w:color w:val="auto"/>
          <w:kern w:val="0"/>
          <w:sz w:val="32"/>
          <w:szCs w:val="32"/>
        </w:rPr>
        <w:t>;</w:t>
      </w:r>
    </w:p>
    <w:p w14:paraId="6694EB20">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5.学生证（应届生）或毕业证书、学位证书（非应届生）原件和复印件；</w:t>
      </w:r>
    </w:p>
    <w:p w14:paraId="5DEDFD6B">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6.其他学籍或学历证明材料：</w:t>
      </w:r>
    </w:p>
    <w:p w14:paraId="57C2F1D8">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(1)《教育部学籍在线验证报告》（应届生）；</w:t>
      </w:r>
    </w:p>
    <w:p w14:paraId="5A9F7237">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(2)《教育部学历证书电子注册备案表》或《中国高等教育学历认证报告》（非应届生）；</w:t>
      </w:r>
    </w:p>
    <w:p w14:paraId="07416345">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(3)教育部留学服务中心出具的《国（境）外学历学位认证书》（境外或国外学历获得者）；</w:t>
      </w:r>
    </w:p>
    <w:p w14:paraId="0E6B7726">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7.大学期间成绩单（校级教学管理部门或档案管理部门加盖公章），同等学力考生还需提供大专毕业证书原件及复印件和专业课程成绩证明；</w:t>
      </w:r>
    </w:p>
    <w:p w14:paraId="0B7BF903">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8.考生自述（主要包括考生本人的政治表现、外语水平、报考专业和科研能力、研究计划等方面内容）。</w:t>
      </w:r>
    </w:p>
    <w:p w14:paraId="3DF1844B">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对持不合格证件、复试材料不全、凡未进行资格审查或资格审查未通过的考生一律不予复试、录取。</w:t>
      </w:r>
    </w:p>
    <w:p w14:paraId="12C6C719">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其他说明</w:t>
      </w:r>
    </w:p>
    <w:p w14:paraId="6857228B">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具体</w:t>
      </w:r>
      <w:r>
        <w:rPr>
          <w:rFonts w:hint="eastAsia" w:ascii="仿宋" w:hAnsi="仿宋" w:eastAsia="仿宋" w:cs="仿宋"/>
          <w:color w:val="auto"/>
          <w:kern w:val="0"/>
          <w:sz w:val="32"/>
          <w:szCs w:val="32"/>
          <w:lang w:val="en-US" w:eastAsia="zh-CN"/>
        </w:rPr>
        <w:t>复试内容与要求</w:t>
      </w:r>
      <w:r>
        <w:rPr>
          <w:rFonts w:hint="eastAsia" w:ascii="仿宋" w:hAnsi="仿宋" w:eastAsia="仿宋" w:cs="仿宋"/>
          <w:color w:val="auto"/>
          <w:kern w:val="0"/>
          <w:sz w:val="32"/>
          <w:szCs w:val="32"/>
          <w:lang w:eastAsia="zh-CN"/>
        </w:rPr>
        <w:t>请看</w:t>
      </w:r>
      <w:r>
        <w:rPr>
          <w:rFonts w:hint="eastAsia" w:ascii="仿宋" w:hAnsi="仿宋" w:eastAsia="仿宋" w:cs="仿宋"/>
          <w:color w:val="auto"/>
          <w:kern w:val="0"/>
          <w:sz w:val="32"/>
          <w:szCs w:val="32"/>
        </w:rPr>
        <w:t>《美术与设计学院202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年硕士研究生招生复试录取工作实施细则》网址链接：https://www.qztc.edu.cn/msxy/2025/0328/c5483a281821/page.htm</w:t>
      </w:r>
    </w:p>
    <w:p w14:paraId="1FD1A31A">
      <w:pPr>
        <w:widowControl/>
        <w:shd w:val="clear" w:color="auto" w:fill="FFFFFF"/>
        <w:spacing w:line="520" w:lineRule="exact"/>
        <w:ind w:firstLine="640" w:firstLineChars="200"/>
        <w:jc w:val="lef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六、联系方式</w:t>
      </w:r>
    </w:p>
    <w:p w14:paraId="17DF0B6E">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美术与设计学院招生联系电话：0595-22912172（兰老师），邮箱：</w:t>
      </w:r>
      <w:r>
        <w:rPr>
          <w:rFonts w:hint="eastAsia" w:ascii="仿宋" w:hAnsi="仿宋" w:eastAsia="仿宋" w:cs="仿宋"/>
          <w:color w:val="auto"/>
          <w:kern w:val="0"/>
          <w:sz w:val="32"/>
          <w:szCs w:val="32"/>
        </w:rPr>
        <w:fldChar w:fldCharType="begin"/>
      </w:r>
      <w:r>
        <w:rPr>
          <w:rFonts w:hint="eastAsia" w:ascii="仿宋" w:hAnsi="仿宋" w:eastAsia="仿宋" w:cs="仿宋"/>
          <w:color w:val="auto"/>
          <w:kern w:val="0"/>
          <w:sz w:val="32"/>
          <w:szCs w:val="32"/>
        </w:rPr>
        <w:instrText xml:space="preserve"> HYPERLINK "mailto:237440560@qq.com；" </w:instrText>
      </w:r>
      <w:r>
        <w:rPr>
          <w:rFonts w:hint="eastAsia" w:ascii="仿宋" w:hAnsi="仿宋" w:eastAsia="仿宋" w:cs="仿宋"/>
          <w:color w:val="auto"/>
          <w:kern w:val="0"/>
          <w:sz w:val="32"/>
          <w:szCs w:val="32"/>
        </w:rPr>
        <w:fldChar w:fldCharType="separate"/>
      </w:r>
      <w:r>
        <w:rPr>
          <w:rFonts w:hint="eastAsia" w:ascii="仿宋" w:hAnsi="仿宋" w:eastAsia="仿宋" w:cs="仿宋"/>
          <w:color w:val="auto"/>
          <w:kern w:val="0"/>
          <w:sz w:val="32"/>
          <w:szCs w:val="32"/>
        </w:rPr>
        <w:t>237440560@qq.com；</w:t>
      </w:r>
      <w:r>
        <w:rPr>
          <w:rFonts w:hint="eastAsia" w:ascii="仿宋" w:hAnsi="仿宋" w:eastAsia="仿宋" w:cs="仿宋"/>
          <w:color w:val="auto"/>
          <w:kern w:val="0"/>
          <w:sz w:val="32"/>
          <w:szCs w:val="32"/>
        </w:rPr>
        <w:fldChar w:fldCharType="end"/>
      </w:r>
    </w:p>
    <w:p w14:paraId="08B7941C">
      <w:pPr>
        <w:widowControl/>
        <w:shd w:val="clear" w:color="auto" w:fill="FFFFFF"/>
        <w:adjustRightInd w:val="0"/>
        <w:spacing w:line="520" w:lineRule="exact"/>
        <w:ind w:firstLine="57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w:t>
      </w:r>
    </w:p>
    <w:p w14:paraId="65C76A5D">
      <w:pPr>
        <w:pStyle w:val="5"/>
        <w:spacing w:line="520" w:lineRule="exact"/>
        <w:ind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3887BA00">
      <w:pPr>
        <w:autoSpaceDE w:val="0"/>
        <w:adjustRightInd w:val="0"/>
        <w:spacing w:line="520" w:lineRule="exact"/>
        <w:ind w:firstLine="640" w:firstLineChars="200"/>
        <w:jc w:val="center"/>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rPr>
        <w:t xml:space="preserve">                 </w:t>
      </w:r>
      <w:r>
        <w:rPr>
          <w:rFonts w:hint="eastAsia" w:ascii="仿宋" w:hAnsi="仿宋" w:eastAsia="仿宋" w:cs="仿宋"/>
          <w:b/>
          <w:bCs/>
          <w:color w:val="auto"/>
          <w:kern w:val="0"/>
          <w:sz w:val="32"/>
          <w:szCs w:val="32"/>
        </w:rPr>
        <w:t xml:space="preserve">         美术与设计学院</w:t>
      </w:r>
    </w:p>
    <w:p w14:paraId="7ACF62C5">
      <w:pPr>
        <w:autoSpaceDE w:val="0"/>
        <w:adjustRightInd w:val="0"/>
        <w:spacing w:line="520" w:lineRule="exact"/>
        <w:ind w:firstLine="643" w:firstLineChars="200"/>
        <w:jc w:val="righ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研究生复试录取工作领导小组</w:t>
      </w:r>
    </w:p>
    <w:p w14:paraId="7DAEEB6C">
      <w:pPr>
        <w:autoSpaceDE w:val="0"/>
        <w:adjustRightInd w:val="0"/>
        <w:spacing w:line="520" w:lineRule="exact"/>
        <w:ind w:firstLine="643" w:firstLineChars="200"/>
        <w:jc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202</w:t>
      </w:r>
      <w:r>
        <w:rPr>
          <w:rFonts w:hint="eastAsia" w:ascii="仿宋" w:hAnsi="仿宋" w:eastAsia="仿宋" w:cs="仿宋"/>
          <w:b/>
          <w:bCs/>
          <w:color w:val="auto"/>
          <w:kern w:val="0"/>
          <w:sz w:val="32"/>
          <w:szCs w:val="32"/>
          <w:lang w:val="en-US" w:eastAsia="zh-CN"/>
        </w:rPr>
        <w:t>5</w:t>
      </w:r>
      <w:r>
        <w:rPr>
          <w:rFonts w:hint="eastAsia" w:ascii="仿宋" w:hAnsi="仿宋" w:eastAsia="仿宋" w:cs="仿宋"/>
          <w:b/>
          <w:bCs/>
          <w:color w:val="auto"/>
          <w:kern w:val="0"/>
          <w:sz w:val="32"/>
          <w:szCs w:val="32"/>
        </w:rPr>
        <w:t>年4月</w:t>
      </w:r>
      <w:r>
        <w:rPr>
          <w:rFonts w:hint="eastAsia" w:ascii="仿宋" w:hAnsi="仿宋" w:eastAsia="仿宋" w:cs="仿宋"/>
          <w:b/>
          <w:bCs/>
          <w:color w:val="auto"/>
          <w:kern w:val="0"/>
          <w:sz w:val="32"/>
          <w:szCs w:val="32"/>
          <w:lang w:val="en-US" w:eastAsia="zh-CN"/>
        </w:rPr>
        <w:t>14</w:t>
      </w:r>
      <w:r>
        <w:rPr>
          <w:rFonts w:hint="eastAsia" w:ascii="仿宋" w:hAnsi="仿宋" w:eastAsia="仿宋" w:cs="仿宋"/>
          <w:b/>
          <w:bCs/>
          <w:color w:val="auto"/>
          <w:kern w:val="0"/>
          <w:sz w:val="32"/>
          <w:szCs w:val="32"/>
        </w:rPr>
        <w:t>日</w:t>
      </w:r>
    </w:p>
    <w:p w14:paraId="042FD238">
      <w:pPr>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2A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8D46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08D46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BB"/>
    <w:rsid w:val="001735B1"/>
    <w:rsid w:val="0040468F"/>
    <w:rsid w:val="00982A01"/>
    <w:rsid w:val="00EB69BB"/>
    <w:rsid w:val="03D535A9"/>
    <w:rsid w:val="1CF612EC"/>
    <w:rsid w:val="24CE1F1F"/>
    <w:rsid w:val="28B35D63"/>
    <w:rsid w:val="2B5D2D51"/>
    <w:rsid w:val="33A547C8"/>
    <w:rsid w:val="34802093"/>
    <w:rsid w:val="463B47DC"/>
    <w:rsid w:val="53B45A28"/>
    <w:rsid w:val="54992548"/>
    <w:rsid w:val="644448DD"/>
    <w:rsid w:val="65980609"/>
    <w:rsid w:val="673E4AC2"/>
    <w:rsid w:val="6ACE1BC9"/>
    <w:rsid w:val="6BFD1C3F"/>
    <w:rsid w:val="6DF37746"/>
    <w:rsid w:val="7AC20556"/>
    <w:rsid w:val="7C540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link w:val="10"/>
    <w:unhideWhenUsed/>
    <w:qFormat/>
    <w:uiPriority w:val="99"/>
    <w:pPr>
      <w:widowControl/>
      <w:spacing w:before="100" w:beforeAutospacing="1"/>
      <w:ind w:firstLine="420" w:firstLineChars="100"/>
      <w:jc w:val="left"/>
    </w:pPr>
    <w:rPr>
      <w:rFonts w:ascii="Calibri" w:hAnsi="Calibri"/>
      <w:kern w:val="0"/>
    </w:rPr>
  </w:style>
  <w:style w:type="character" w:styleId="8">
    <w:name w:val="Hyperlink"/>
    <w:basedOn w:val="7"/>
    <w:unhideWhenUsed/>
    <w:qFormat/>
    <w:uiPriority w:val="99"/>
    <w:rPr>
      <w:color w:val="0000FF"/>
      <w:u w:val="single"/>
    </w:rPr>
  </w:style>
  <w:style w:type="character" w:customStyle="1" w:styleId="9">
    <w:name w:val="正文文本 Char"/>
    <w:basedOn w:val="7"/>
    <w:link w:val="2"/>
    <w:semiHidden/>
    <w:qFormat/>
    <w:uiPriority w:val="99"/>
    <w:rPr>
      <w:rFonts w:ascii="Times New Roman" w:hAnsi="Times New Roman" w:eastAsia="宋体" w:cs="Times New Roman"/>
      <w:szCs w:val="21"/>
    </w:rPr>
  </w:style>
  <w:style w:type="character" w:customStyle="1" w:styleId="10">
    <w:name w:val="正文首行缩进 Char"/>
    <w:basedOn w:val="9"/>
    <w:link w:val="5"/>
    <w:qFormat/>
    <w:uiPriority w:val="99"/>
    <w:rPr>
      <w:rFonts w:ascii="Calibri" w:hAnsi="Calibri"/>
      <w:kern w:val="0"/>
    </w:rPr>
  </w:style>
  <w:style w:type="character" w:customStyle="1" w:styleId="11">
    <w:name w:val="15"/>
    <w:basedOn w:val="7"/>
    <w:qFormat/>
    <w:uiPriority w:val="0"/>
    <w:rPr>
      <w:rFonts w:hint="default" w:ascii="Times New Roman" w:hAnsi="Times New Roman" w:cs="Times New Roman"/>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1958</Words>
  <Characters>2199</Characters>
  <Lines>16</Lines>
  <Paragraphs>4</Paragraphs>
  <TotalTime>1</TotalTime>
  <ScaleCrop>false</ScaleCrop>
  <LinksUpToDate>false</LinksUpToDate>
  <CharactersWithSpaces>2258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2025-04-01T07:44:00Z</dcterms:created>
  <dc:creator>admin</dc:creator>
  <cp:lastModifiedBy>威少-12</cp:lastModifiedBy>
  <cp:lastPrinted>2025-04-02T10:32:00Z</cp:lastPrinted>
  <dcterms:modified xsi:type="dcterms:W3CDTF">2025-04-14T07:04:43Z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eyJoZGlkIjoiYWRmNDZjZjU3NTQwMTZmYWVhMTVlMTJjNzg5NTczNTMiLCJ1c2VySWQiOiI0MTQ2ODE1MzkifQ==</vt:lpwstr>
  </property>
  <property fmtid="{D5CDD505-2E9C-101B-9397-08002B2CF9AE}" pid="3" name="KSOProductBuildVer">
    <vt:lpwstr>2052-12.1.0.20784</vt:lpwstr>
  </property>
  <property fmtid="{D5CDD505-2E9C-101B-9397-08002B2CF9AE}" pid="4" name="ICV">
    <vt:lpwstr>E521BA85000D41B6B4579E442106461F_13</vt:lpwstr>
  </property>
</Properties>
</file>