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ind w:right="-6"/>
        <w:jc w:val="center"/>
        <w:rPr>
          <w:rFonts w:ascii="方正小标宋简体" w:hAnsi="方正小标宋简体" w:eastAsia="方正小标宋简体" w:cs="方正小标宋简体"/>
          <w:color w:val="000000"/>
          <w:kern w:val="0"/>
          <w:sz w:val="44"/>
          <w:szCs w:val="44"/>
        </w:rPr>
      </w:pPr>
      <w:r>
        <w:rPr>
          <w:rFonts w:hint="eastAsia" w:ascii="方正小标宋简体" w:hAnsi="方正小标宋简体" w:eastAsia="方正小标宋简体" w:cs="方正小标宋简体"/>
          <w:color w:val="000000"/>
          <w:kern w:val="0"/>
          <w:sz w:val="44"/>
          <w:szCs w:val="44"/>
        </w:rPr>
        <w:t>关于开展2021年工勤人员技能等级</w:t>
      </w:r>
    </w:p>
    <w:p>
      <w:pPr>
        <w:spacing w:line="520" w:lineRule="exact"/>
        <w:ind w:right="-6"/>
        <w:jc w:val="center"/>
        <w:rPr>
          <w:rFonts w:ascii="方正小标宋简体" w:hAnsi="方正小标宋简体" w:eastAsia="方正小标宋简体" w:cs="方正小标宋简体"/>
          <w:color w:val="000000"/>
          <w:kern w:val="0"/>
          <w:sz w:val="44"/>
          <w:szCs w:val="44"/>
        </w:rPr>
      </w:pPr>
      <w:r>
        <w:rPr>
          <w:rFonts w:hint="eastAsia" w:ascii="方正小标宋简体" w:hAnsi="方正小标宋简体" w:eastAsia="方正小标宋简体" w:cs="方正小标宋简体"/>
          <w:color w:val="000000"/>
          <w:kern w:val="0"/>
          <w:sz w:val="44"/>
          <w:szCs w:val="44"/>
        </w:rPr>
        <w:t>岗位考核工作的通知</w:t>
      </w:r>
    </w:p>
    <w:p>
      <w:pPr>
        <w:spacing w:line="520" w:lineRule="exact"/>
        <w:ind w:right="-6"/>
        <w:jc w:val="center"/>
        <w:rPr>
          <w:rFonts w:ascii="方正小标宋简体" w:hAnsi="方正小标宋简体" w:eastAsia="方正小标宋简体" w:cs="方正小标宋简体"/>
          <w:color w:val="000000"/>
          <w:kern w:val="0"/>
          <w:sz w:val="44"/>
          <w:szCs w:val="44"/>
        </w:rPr>
      </w:pPr>
    </w:p>
    <w:p>
      <w:pPr>
        <w:keepNext w:val="0"/>
        <w:keepLines w:val="0"/>
        <w:pageBreakBefore w:val="0"/>
        <w:kinsoku/>
        <w:wordWrap/>
        <w:overflowPunct/>
        <w:topLinePunct w:val="0"/>
        <w:autoSpaceDE/>
        <w:autoSpaceDN/>
        <w:bidi w:val="0"/>
        <w:adjustRightInd/>
        <w:snapToGrid/>
        <w:spacing w:line="56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各</w:t>
      </w:r>
      <w:r>
        <w:rPr>
          <w:rFonts w:hint="eastAsia" w:ascii="仿宋_GB2312" w:hAnsi="仿宋_GB2312" w:cs="仿宋_GB2312"/>
          <w:color w:val="auto"/>
          <w:sz w:val="32"/>
          <w:szCs w:val="32"/>
          <w:lang w:eastAsia="zh-CN"/>
        </w:rPr>
        <w:t>有关单位</w:t>
      </w:r>
      <w:r>
        <w:rPr>
          <w:rFonts w:hint="eastAsia" w:ascii="仿宋_GB2312" w:hAnsi="仿宋_GB2312" w:eastAsia="仿宋_GB2312" w:cs="仿宋_GB2312"/>
          <w:color w:val="auto"/>
          <w:sz w:val="32"/>
          <w:szCs w:val="32"/>
        </w:rPr>
        <w:t>：</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根据《福建省人力资源和社会保障厅关于开展2021年机关事业单位工勤人员技能等级岗位考核工作的通知》（闽人社办〔2021〕65号），现</w:t>
      </w:r>
      <w:r>
        <w:rPr>
          <w:rFonts w:hint="eastAsia" w:ascii="仿宋_GB2312" w:hAnsi="仿宋_GB2312" w:eastAsia="仿宋_GB2312" w:cs="仿宋_GB2312"/>
          <w:color w:val="auto"/>
          <w:sz w:val="32"/>
          <w:szCs w:val="32"/>
          <w:lang w:eastAsia="zh-CN"/>
        </w:rPr>
        <w:t>就做好我校</w:t>
      </w:r>
      <w:r>
        <w:rPr>
          <w:rFonts w:hint="eastAsia" w:ascii="仿宋_GB2312" w:hAnsi="仿宋_GB2312" w:eastAsia="仿宋_GB2312" w:cs="仿宋_GB2312"/>
          <w:color w:val="auto"/>
          <w:sz w:val="32"/>
          <w:szCs w:val="32"/>
        </w:rPr>
        <w:t>工勤人员技能等级岗位考核工作</w:t>
      </w:r>
      <w:r>
        <w:rPr>
          <w:rFonts w:hint="eastAsia" w:ascii="仿宋_GB2312" w:hAnsi="仿宋_GB2312" w:eastAsia="仿宋_GB2312" w:cs="仿宋_GB2312"/>
          <w:color w:val="auto"/>
          <w:sz w:val="32"/>
          <w:szCs w:val="32"/>
          <w:lang w:eastAsia="zh-CN"/>
        </w:rPr>
        <w:t>有关</w:t>
      </w:r>
      <w:r>
        <w:rPr>
          <w:rFonts w:hint="eastAsia" w:ascii="仿宋_GB2312" w:hAnsi="仿宋_GB2312" w:eastAsia="仿宋_GB2312" w:cs="仿宋_GB2312"/>
          <w:color w:val="auto"/>
          <w:sz w:val="32"/>
          <w:szCs w:val="32"/>
        </w:rPr>
        <w:t>事项通知如下:</w:t>
      </w:r>
    </w:p>
    <w:p>
      <w:pPr>
        <w:pStyle w:val="8"/>
        <w:keepNext w:val="0"/>
        <w:keepLines w:val="0"/>
        <w:pageBreakBefore w:val="0"/>
        <w:numPr>
          <w:ilvl w:val="0"/>
          <w:numId w:val="1"/>
        </w:numPr>
        <w:kinsoku/>
        <w:wordWrap/>
        <w:overflowPunct/>
        <w:topLinePunct w:val="0"/>
        <w:autoSpaceDE/>
        <w:autoSpaceDN/>
        <w:bidi w:val="0"/>
        <w:adjustRightInd/>
        <w:snapToGrid/>
        <w:spacing w:line="560" w:lineRule="exact"/>
        <w:ind w:firstLine="640" w:firstLineChars="200"/>
        <w:rPr>
          <w:rFonts w:hint="eastAsia" w:ascii="黑体" w:hAnsi="黑体" w:eastAsia="黑体" w:cs="黑体"/>
          <w:color w:val="auto"/>
          <w:sz w:val="32"/>
          <w:szCs w:val="32"/>
        </w:rPr>
      </w:pPr>
      <w:r>
        <w:rPr>
          <w:rFonts w:hint="eastAsia" w:ascii="黑体" w:hAnsi="黑体" w:eastAsia="黑体" w:cs="黑体"/>
          <w:color w:val="auto"/>
          <w:sz w:val="32"/>
          <w:szCs w:val="32"/>
        </w:rPr>
        <w:t>参加人员</w:t>
      </w:r>
    </w:p>
    <w:p>
      <w:pPr>
        <w:pStyle w:val="8"/>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学校在编在岗工勤技能岗位人员。</w:t>
      </w:r>
    </w:p>
    <w:p>
      <w:pPr>
        <w:pStyle w:val="8"/>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rPr>
          <w:rFonts w:hint="eastAsia" w:ascii="黑体" w:hAnsi="黑体" w:eastAsia="黑体" w:cs="黑体"/>
          <w:color w:val="auto"/>
          <w:sz w:val="32"/>
          <w:szCs w:val="32"/>
        </w:rPr>
      </w:pPr>
      <w:r>
        <w:rPr>
          <w:rFonts w:hint="eastAsia" w:ascii="黑体" w:hAnsi="黑体" w:eastAsia="黑体" w:cs="黑体"/>
          <w:color w:val="auto"/>
          <w:sz w:val="32"/>
          <w:szCs w:val="32"/>
        </w:rPr>
        <w:t>二、报考条件</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(一）申报条件</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1.申报初级工考核：新入编在岗的工勤人员或派遣（聘用）人员，可申报初级工考核。</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申报中级工考核：在本工种初级工岗位上工作满5年；或工作年限满10年且已取得本工种初级工资格，可申报本工种中级工考核。具有大学本科及以上学历的人员（须提供“中国高等教育学生信息网”学历认证证明,党校、军队院校本科同等有效学历视同），可直接申报所从事工种的中级工考核。</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3.申报高级工考核：在本工种中级工岗位上工作满5年；或工作年限满20年且已取得本工种中级工资格，可申报本工种高级工考核。</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4.申报技师考核：在本工种高级工岗位上工作满5年并取得大专及以上学历（含技师课程班结业）；或工作年限满25年且已取得本工种高级工资格，可申报本工种技师考核。</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（二）免试条件</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凡符合申报条件且具备下列条件之一的，经审核后可免试直接认定上一等级资格或免试相应科目：</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1.免试直接认定上一等级资格</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（1）申报初级工、中级工、高级工和技师时，在现工种等级期间，参加国家级技能竞赛获得“全国技术能手”荣誉的。</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（2）申报初级工、中级工、高级工和技师时，在现工种等级期间，获得省级及以上“五一劳动奖章”或市级及以上“劳动模范”称号并继续保持荣誉的。</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（3）申报初级工、中级工和高级工时，凡男性满57周岁、女性满47周岁，在本工种等级岗位上连续工作满10年，并在近5年内连续3次（含）以上年度考核考评优秀的。</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2.免试相应科目</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（1）申报初级工、中级工、高级工和技师时，在现工种等级期间，参加省级技能竞赛获得“福建省技术能手”荣誉的，可免试《专业理论》及《技能实操》科目。</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（2）申报初级工、中级工和高级工时，在现工种等级期间，近5年内4次（含）以上年度考核考评优秀的，可免试《公共课程》科目。</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（3）申报初级工、中级工和高级工时，凡男性满57周岁、女性满47周岁，在本工种等级岗位上连续工作满10年，并在近5年内2次（含）以上年度考核考评优秀的，可免试《公共课程》科目。</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（三）上述年限以足年计算，截止时间为2021年12月31日。</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黑体" w:hAnsi="黑体" w:eastAsia="黑体" w:cs="黑体"/>
          <w:color w:val="auto"/>
          <w:kern w:val="0"/>
          <w:sz w:val="32"/>
          <w:szCs w:val="32"/>
          <w:lang w:val="en-US" w:eastAsia="zh-CN" w:bidi="ar-SA"/>
        </w:rPr>
      </w:pPr>
      <w:r>
        <w:rPr>
          <w:rFonts w:hint="eastAsia" w:ascii="黑体" w:hAnsi="黑体" w:eastAsia="黑体" w:cs="黑体"/>
          <w:color w:val="auto"/>
          <w:kern w:val="0"/>
          <w:sz w:val="32"/>
          <w:szCs w:val="32"/>
          <w:lang w:val="en-US" w:eastAsia="zh-CN" w:bidi="ar-SA"/>
        </w:rPr>
        <w:t>三、认定审核</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退役士兵原取得部队颁发的初级、中级和高级技能等级证书，安置工作后仍从事本工种技能工作，并符合以下条件的，可申报认定审核。</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（一）取得部队颁发的初级技能等级证书，可申报本工种初级工认定审核。</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（二）取得部队颁发的中级技能等级证书，持证后继续在部队服役满2年或工龄满10年（含部队服役年限）的，可申报本工种中级工认定审核。</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（三）取得部队颁发的高级技能等级证书，持证后继续在部队服役满5年或工龄满20年（含部队服役年限）的，可申报本工种高级工认定审核。</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（四）取得部队颁发的中级、高级技能等级证书，持证后继续在部队服役年限或工龄未达本条第（二）、（三）款要求的，应参加本工种等级《公共课程》的考试。</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已取得他省机关事业单位工人技术岗位证书且已兑现相应等级工资的工勤人员（含部队随军家属及引进人才家属），正式调动到我省机关事业单位后，可申报同等级认定审核。</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四</w:t>
      </w:r>
      <w:r>
        <w:rPr>
          <w:rFonts w:hint="eastAsia" w:ascii="黑体" w:hAnsi="黑体" w:eastAsia="黑体" w:cs="黑体"/>
          <w:b w:val="0"/>
          <w:bCs w:val="0"/>
          <w:color w:val="auto"/>
          <w:sz w:val="32"/>
          <w:szCs w:val="32"/>
          <w:lang w:eastAsia="zh-CN"/>
        </w:rPr>
        <w:t>、</w:t>
      </w:r>
      <w:r>
        <w:rPr>
          <w:rFonts w:hint="eastAsia" w:ascii="黑体" w:hAnsi="黑体" w:eastAsia="黑体" w:cs="黑体"/>
          <w:b w:val="0"/>
          <w:bCs w:val="0"/>
          <w:color w:val="auto"/>
          <w:sz w:val="32"/>
          <w:szCs w:val="32"/>
        </w:rPr>
        <w:t>考核方式</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2021年的岗位考核实行3年为一个周期的滚动管理方法，即在连续三个考试年度内通过全部考试科目，方可取得相应技能等级资格；报考技师的人员，须在连续的三个考试年度内通过全部考试科目再通过答辩，方可取得技师等级资格。</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免试和认定审核不实行滚动管理，须重新申报审核。</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五、报名时间及方式</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（一）报名时间</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报考人员应于2021年5月17日至5月31日登录省机关事业单位工勤人员考核中心（以下简称“省工考中心”）网站（http://www.f</w:t>
      </w:r>
      <w:bookmarkStart w:id="0" w:name="_Hlt8718158"/>
      <w:r>
        <w:rPr>
          <w:rFonts w:hint="eastAsia" w:ascii="仿宋_GB2312" w:hAnsi="仿宋_GB2312" w:eastAsia="仿宋_GB2312" w:cs="仿宋_GB2312"/>
          <w:b w:val="0"/>
          <w:bCs/>
          <w:color w:val="auto"/>
          <w:sz w:val="32"/>
          <w:szCs w:val="32"/>
        </w:rPr>
        <w:t>j</w:t>
      </w:r>
      <w:bookmarkEnd w:id="0"/>
      <w:r>
        <w:rPr>
          <w:rFonts w:hint="eastAsia" w:ascii="仿宋_GB2312" w:hAnsi="仿宋_GB2312" w:eastAsia="仿宋_GB2312" w:cs="仿宋_GB2312"/>
          <w:b w:val="0"/>
          <w:bCs/>
          <w:color w:val="auto"/>
          <w:sz w:val="32"/>
          <w:szCs w:val="32"/>
        </w:rPr>
        <w:t>rst.cn）报名。</w:t>
      </w:r>
    </w:p>
    <w:p>
      <w:pPr>
        <w:keepNext w:val="0"/>
        <w:keepLines w:val="0"/>
        <w:pageBreakBefore w:val="0"/>
        <w:tabs>
          <w:tab w:val="left" w:pos="624"/>
        </w:tabs>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（二）资格审核</w:t>
      </w:r>
    </w:p>
    <w:p>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shd w:val="clear" w:color="auto" w:fill="FFFFFF"/>
        </w:rPr>
        <w:t>申报人员于5月17日至6月4日(不含节假日)至泉州市机关事业单位工勤人员考核中心（泉州市行政中心交通科研楼B栋923.925）进行现场审核,</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shd w:val="clear" w:color="auto" w:fill="FFFFFF"/>
        </w:rPr>
        <w:t>现场资格审核需带的材料：</w:t>
      </w:r>
    </w:p>
    <w:p>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shd w:val="clear" w:color="auto" w:fill="FFFFFF"/>
        </w:rPr>
        <w:t>1.《福建省机关事业单位工勤人员技能等级岗位考核报名表》（以下简称《报名表》），未通过考核的再次报考人员只需提供《报名表》；</w:t>
      </w:r>
    </w:p>
    <w:p>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shd w:val="clear" w:color="auto" w:fill="FFFFFF"/>
        </w:rPr>
        <w:t>2.身份证、学历证书、学历认证证明、岗位等级证书原件及复印件；</w:t>
      </w:r>
    </w:p>
    <w:p>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3.最新机关、事业单位工作人员工资审批表；</w:t>
      </w:r>
    </w:p>
    <w:p>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4.报考技师人员另需在省工考中心网站下载并填写《福建省机关事业单位工勤人员申报技师资格简明表》（以下简称《简明表》）;                                                                                          </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5.符合免试条件或认定审核的人员，须携带《福建省机关事业单位工勤人员技能等级岗位考核报名表》连同有关证件和有关免试证件。</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上述表格及复印件须经人事处审核盖章，《报名表》及《简明表》还需有泉州市教育局人事科审核盖章。</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（三）缴费标准</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报名审核通过后，报考人员应在省工考中心网站进行网上缴费。未缴费者视无效申报。缴费标准按照《福建省发展和改革委员会、福建省财政厅关于重新制定我省职业技能鉴定和机关事业单位工勤人员技能等级考核收费标准的函》（闽发改服价函〔2019〕381号）规定执行。</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黑体" w:hAnsi="黑体" w:eastAsia="黑体" w:cs="黑体"/>
          <w:color w:val="auto"/>
          <w:sz w:val="32"/>
          <w:szCs w:val="32"/>
        </w:rPr>
      </w:pPr>
      <w:r>
        <w:rPr>
          <w:rFonts w:hint="eastAsia" w:ascii="黑体" w:hAnsi="黑体" w:eastAsia="黑体" w:cs="黑体"/>
          <w:color w:val="auto"/>
          <w:sz w:val="32"/>
          <w:szCs w:val="32"/>
        </w:rPr>
        <w:t>六、考试科目及时间</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（一）考试科目</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1.考试科目：《公共课程》、《专业理论》和《技能实操》共三门。</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2.考试题型、题量及分值</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（1）《公共课程》和《专业理论》科目采取闭卷笔试和继续教育网上测试分别占比一定分值的形式，分值占比如下表所示。</w:t>
      </w:r>
    </w:p>
    <w:p>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b/>
          <w:bCs w:val="0"/>
          <w:color w:val="auto"/>
          <w:sz w:val="24"/>
          <w:szCs w:val="24"/>
        </w:rPr>
      </w:pPr>
      <w:r>
        <w:rPr>
          <w:rFonts w:hint="eastAsia" w:ascii="仿宋_GB2312" w:hAnsi="仿宋_GB2312" w:eastAsia="仿宋_GB2312" w:cs="仿宋_GB2312"/>
          <w:b/>
          <w:bCs w:val="0"/>
          <w:color w:val="auto"/>
          <w:sz w:val="24"/>
          <w:szCs w:val="24"/>
        </w:rPr>
        <w:t>《公共课程》、《专业理论》科目闭卷笔试和继续教育网上测试分值占比表</w:t>
      </w:r>
    </w:p>
    <w:tbl>
      <w:tblPr>
        <w:tblStyle w:val="6"/>
        <w:tblW w:w="0" w:type="auto"/>
        <w:jc w:val="center"/>
        <w:tblLayout w:type="fixed"/>
        <w:tblCellMar>
          <w:top w:w="0" w:type="dxa"/>
          <w:left w:w="108" w:type="dxa"/>
          <w:bottom w:w="0" w:type="dxa"/>
          <w:right w:w="108" w:type="dxa"/>
        </w:tblCellMar>
      </w:tblPr>
      <w:tblGrid>
        <w:gridCol w:w="1601"/>
        <w:gridCol w:w="3470"/>
        <w:gridCol w:w="1650"/>
        <w:gridCol w:w="2233"/>
      </w:tblGrid>
      <w:tr>
        <w:tblPrEx>
          <w:tblCellMar>
            <w:top w:w="0" w:type="dxa"/>
            <w:left w:w="108" w:type="dxa"/>
            <w:bottom w:w="0" w:type="dxa"/>
            <w:right w:w="108" w:type="dxa"/>
          </w:tblCellMar>
        </w:tblPrEx>
        <w:trPr>
          <w:wAfter w:w="0" w:type="auto"/>
          <w:trHeight w:val="782" w:hRule="atLeast"/>
          <w:jc w:val="center"/>
        </w:trPr>
        <w:tc>
          <w:tcPr>
            <w:tcW w:w="160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jc w:val="center"/>
              <w:rPr>
                <w:rFonts w:hint="eastAsia" w:ascii="仿宋_GB2312" w:hAnsi="仿宋_GB2312" w:eastAsia="仿宋_GB2312" w:cs="仿宋_GB2312"/>
                <w:b/>
                <w:bCs/>
                <w:color w:val="auto"/>
                <w:kern w:val="0"/>
                <w:sz w:val="32"/>
                <w:szCs w:val="32"/>
              </w:rPr>
            </w:pPr>
            <w:r>
              <w:rPr>
                <w:rFonts w:hint="eastAsia" w:ascii="仿宋_GB2312" w:hAnsi="仿宋_GB2312" w:eastAsia="仿宋_GB2312" w:cs="仿宋_GB2312"/>
                <w:b/>
                <w:bCs/>
                <w:color w:val="auto"/>
                <w:kern w:val="0"/>
                <w:sz w:val="32"/>
                <w:szCs w:val="32"/>
              </w:rPr>
              <w:t>科目</w:t>
            </w:r>
          </w:p>
        </w:tc>
        <w:tc>
          <w:tcPr>
            <w:tcW w:w="347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jc w:val="center"/>
              <w:rPr>
                <w:rFonts w:hint="eastAsia" w:ascii="仿宋_GB2312" w:hAnsi="仿宋_GB2312" w:eastAsia="仿宋_GB2312" w:cs="仿宋_GB2312"/>
                <w:b/>
                <w:bCs/>
                <w:color w:val="auto"/>
                <w:kern w:val="0"/>
                <w:sz w:val="32"/>
                <w:szCs w:val="32"/>
              </w:rPr>
            </w:pPr>
            <w:r>
              <w:rPr>
                <w:rFonts w:hint="eastAsia" w:ascii="仿宋_GB2312" w:hAnsi="仿宋_GB2312" w:eastAsia="仿宋_GB2312" w:cs="仿宋_GB2312"/>
                <w:b/>
                <w:bCs/>
                <w:color w:val="auto"/>
                <w:kern w:val="0"/>
                <w:sz w:val="32"/>
                <w:szCs w:val="32"/>
              </w:rPr>
              <w:t>考试形式及分值</w:t>
            </w:r>
          </w:p>
        </w:tc>
        <w:tc>
          <w:tcPr>
            <w:tcW w:w="165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jc w:val="center"/>
              <w:rPr>
                <w:rFonts w:hint="eastAsia" w:ascii="仿宋_GB2312" w:hAnsi="仿宋_GB2312" w:eastAsia="仿宋_GB2312" w:cs="仿宋_GB2312"/>
                <w:b/>
                <w:bCs/>
                <w:color w:val="auto"/>
                <w:kern w:val="0"/>
                <w:sz w:val="32"/>
                <w:szCs w:val="32"/>
              </w:rPr>
            </w:pPr>
            <w:r>
              <w:rPr>
                <w:rFonts w:hint="eastAsia" w:ascii="仿宋_GB2312" w:hAnsi="仿宋_GB2312" w:eastAsia="仿宋_GB2312" w:cs="仿宋_GB2312"/>
                <w:b/>
                <w:bCs/>
                <w:color w:val="auto"/>
                <w:kern w:val="0"/>
                <w:sz w:val="32"/>
                <w:szCs w:val="32"/>
              </w:rPr>
              <w:t>题型</w:t>
            </w:r>
          </w:p>
        </w:tc>
        <w:tc>
          <w:tcPr>
            <w:tcW w:w="223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jc w:val="center"/>
              <w:rPr>
                <w:rFonts w:hint="eastAsia" w:ascii="仿宋_GB2312" w:hAnsi="仿宋_GB2312" w:eastAsia="仿宋_GB2312" w:cs="仿宋_GB2312"/>
                <w:b/>
                <w:bCs/>
                <w:color w:val="auto"/>
                <w:kern w:val="0"/>
                <w:sz w:val="32"/>
                <w:szCs w:val="32"/>
              </w:rPr>
            </w:pPr>
            <w:r>
              <w:rPr>
                <w:rFonts w:hint="eastAsia" w:ascii="仿宋_GB2312" w:hAnsi="仿宋_GB2312" w:eastAsia="仿宋_GB2312" w:cs="仿宋_GB2312"/>
                <w:b/>
                <w:bCs/>
                <w:color w:val="auto"/>
                <w:kern w:val="0"/>
                <w:sz w:val="32"/>
                <w:szCs w:val="32"/>
              </w:rPr>
              <w:t>题量</w:t>
            </w:r>
          </w:p>
        </w:tc>
      </w:tr>
      <w:tr>
        <w:tblPrEx>
          <w:tblCellMar>
            <w:top w:w="0" w:type="dxa"/>
            <w:left w:w="108" w:type="dxa"/>
            <w:bottom w:w="0" w:type="dxa"/>
            <w:right w:w="108" w:type="dxa"/>
          </w:tblCellMar>
        </w:tblPrEx>
        <w:trPr>
          <w:wAfter w:w="0" w:type="auto"/>
          <w:trHeight w:val="1376" w:hRule="atLeast"/>
          <w:jc w:val="center"/>
        </w:trPr>
        <w:tc>
          <w:tcPr>
            <w:tcW w:w="1601"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jc w:val="center"/>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公共课程</w:t>
            </w:r>
          </w:p>
          <w:p>
            <w:pPr>
              <w:keepNext w:val="0"/>
              <w:keepLines w:val="0"/>
              <w:pageBreakBefore w:val="0"/>
              <w:widowControl/>
              <w:kinsoku/>
              <w:wordWrap/>
              <w:overflowPunct/>
              <w:topLinePunct w:val="0"/>
              <w:autoSpaceDE/>
              <w:autoSpaceDN/>
              <w:bidi w:val="0"/>
              <w:adjustRightInd/>
              <w:snapToGrid/>
              <w:spacing w:line="560" w:lineRule="exact"/>
              <w:jc w:val="center"/>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专业理论</w:t>
            </w:r>
            <w:r>
              <w:rPr>
                <w:rFonts w:hint="eastAsia" w:ascii="仿宋_GB2312" w:hAnsi="仿宋_GB2312" w:eastAsia="仿宋_GB2312" w:cs="仿宋_GB2312"/>
                <w:color w:val="auto"/>
                <w:kern w:val="0"/>
                <w:sz w:val="28"/>
                <w:szCs w:val="28"/>
              </w:rPr>
              <w:br w:type="textWrapping"/>
            </w:r>
            <w:r>
              <w:rPr>
                <w:rFonts w:hint="eastAsia" w:ascii="仿宋_GB2312" w:hAnsi="仿宋_GB2312" w:eastAsia="仿宋_GB2312" w:cs="仿宋_GB2312"/>
                <w:color w:val="auto"/>
                <w:kern w:val="0"/>
                <w:sz w:val="28"/>
                <w:szCs w:val="28"/>
              </w:rPr>
              <w:t>总分：</w:t>
            </w:r>
          </w:p>
          <w:p>
            <w:pPr>
              <w:keepNext w:val="0"/>
              <w:keepLines w:val="0"/>
              <w:pageBreakBefore w:val="0"/>
              <w:widowControl/>
              <w:kinsoku/>
              <w:wordWrap/>
              <w:overflowPunct/>
              <w:topLinePunct w:val="0"/>
              <w:autoSpaceDE/>
              <w:autoSpaceDN/>
              <w:bidi w:val="0"/>
              <w:adjustRightInd/>
              <w:snapToGrid/>
              <w:spacing w:line="560" w:lineRule="exact"/>
              <w:jc w:val="center"/>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各100分</w:t>
            </w:r>
          </w:p>
        </w:tc>
        <w:tc>
          <w:tcPr>
            <w:tcW w:w="347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jc w:val="center"/>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闭卷笔试，分值:</w:t>
            </w:r>
          </w:p>
          <w:p>
            <w:pPr>
              <w:keepNext w:val="0"/>
              <w:keepLines w:val="0"/>
              <w:pageBreakBefore w:val="0"/>
              <w:widowControl/>
              <w:kinsoku/>
              <w:wordWrap/>
              <w:overflowPunct/>
              <w:topLinePunct w:val="0"/>
              <w:autoSpaceDE/>
              <w:autoSpaceDN/>
              <w:bidi w:val="0"/>
              <w:adjustRightInd/>
              <w:snapToGrid/>
              <w:spacing w:line="560" w:lineRule="exact"/>
              <w:jc w:val="center"/>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70分（初级工、中级工）</w:t>
            </w:r>
          </w:p>
          <w:p>
            <w:pPr>
              <w:keepNext w:val="0"/>
              <w:keepLines w:val="0"/>
              <w:pageBreakBefore w:val="0"/>
              <w:widowControl/>
              <w:kinsoku/>
              <w:wordWrap/>
              <w:overflowPunct/>
              <w:topLinePunct w:val="0"/>
              <w:autoSpaceDE/>
              <w:autoSpaceDN/>
              <w:bidi w:val="0"/>
              <w:adjustRightInd/>
              <w:snapToGrid/>
              <w:spacing w:line="560" w:lineRule="exact"/>
              <w:jc w:val="center"/>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80分（高级工、技师）</w:t>
            </w:r>
          </w:p>
        </w:tc>
        <w:tc>
          <w:tcPr>
            <w:tcW w:w="165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jc w:val="center"/>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单项选择题</w:t>
            </w:r>
          </w:p>
          <w:p>
            <w:pPr>
              <w:keepNext w:val="0"/>
              <w:keepLines w:val="0"/>
              <w:pageBreakBefore w:val="0"/>
              <w:widowControl/>
              <w:kinsoku/>
              <w:wordWrap/>
              <w:overflowPunct/>
              <w:topLinePunct w:val="0"/>
              <w:autoSpaceDE/>
              <w:autoSpaceDN/>
              <w:bidi w:val="0"/>
              <w:adjustRightInd/>
              <w:snapToGrid/>
              <w:spacing w:line="560" w:lineRule="exact"/>
              <w:jc w:val="center"/>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多项选择题</w:t>
            </w:r>
          </w:p>
          <w:p>
            <w:pPr>
              <w:keepNext w:val="0"/>
              <w:keepLines w:val="0"/>
              <w:pageBreakBefore w:val="0"/>
              <w:widowControl/>
              <w:kinsoku/>
              <w:wordWrap/>
              <w:overflowPunct/>
              <w:topLinePunct w:val="0"/>
              <w:autoSpaceDE/>
              <w:autoSpaceDN/>
              <w:bidi w:val="0"/>
              <w:adjustRightInd/>
              <w:snapToGrid/>
              <w:spacing w:line="560" w:lineRule="exact"/>
              <w:jc w:val="center"/>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判断题</w:t>
            </w:r>
          </w:p>
        </w:tc>
        <w:tc>
          <w:tcPr>
            <w:tcW w:w="223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jc w:val="center"/>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100题（初级工、中级工、高级工）</w:t>
            </w:r>
            <w:r>
              <w:rPr>
                <w:rFonts w:hint="eastAsia" w:ascii="仿宋_GB2312" w:hAnsi="仿宋_GB2312" w:eastAsia="仿宋_GB2312" w:cs="仿宋_GB2312"/>
                <w:color w:val="auto"/>
                <w:kern w:val="0"/>
                <w:sz w:val="28"/>
                <w:szCs w:val="28"/>
              </w:rPr>
              <w:br w:type="textWrapping"/>
            </w:r>
            <w:r>
              <w:rPr>
                <w:rFonts w:hint="eastAsia" w:ascii="仿宋_GB2312" w:hAnsi="仿宋_GB2312" w:eastAsia="仿宋_GB2312" w:cs="仿宋_GB2312"/>
                <w:color w:val="auto"/>
                <w:kern w:val="0"/>
                <w:sz w:val="28"/>
                <w:szCs w:val="28"/>
              </w:rPr>
              <w:t>120题（技师）</w:t>
            </w:r>
          </w:p>
        </w:tc>
      </w:tr>
      <w:tr>
        <w:tblPrEx>
          <w:tblCellMar>
            <w:top w:w="0" w:type="dxa"/>
            <w:left w:w="108" w:type="dxa"/>
            <w:bottom w:w="0" w:type="dxa"/>
            <w:right w:w="108" w:type="dxa"/>
          </w:tblCellMar>
        </w:tblPrEx>
        <w:trPr>
          <w:trHeight w:val="1254" w:hRule="atLeast"/>
          <w:jc w:val="center"/>
        </w:trPr>
        <w:tc>
          <w:tcPr>
            <w:tcW w:w="160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jc w:val="center"/>
              <w:rPr>
                <w:rFonts w:hint="eastAsia" w:ascii="仿宋_GB2312" w:hAnsi="仿宋_GB2312" w:eastAsia="仿宋_GB2312" w:cs="仿宋_GB2312"/>
                <w:color w:val="auto"/>
                <w:kern w:val="0"/>
                <w:sz w:val="28"/>
                <w:szCs w:val="28"/>
              </w:rPr>
            </w:pPr>
          </w:p>
        </w:tc>
        <w:tc>
          <w:tcPr>
            <w:tcW w:w="347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jc w:val="center"/>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继续教育网上测试，分值：</w:t>
            </w:r>
            <w:r>
              <w:rPr>
                <w:rFonts w:hint="eastAsia" w:ascii="仿宋_GB2312" w:hAnsi="仿宋_GB2312" w:eastAsia="仿宋_GB2312" w:cs="仿宋_GB2312"/>
                <w:color w:val="auto"/>
                <w:kern w:val="0"/>
                <w:sz w:val="28"/>
                <w:szCs w:val="28"/>
              </w:rPr>
              <w:br w:type="textWrapping"/>
            </w:r>
            <w:r>
              <w:rPr>
                <w:rFonts w:hint="eastAsia" w:ascii="仿宋_GB2312" w:hAnsi="仿宋_GB2312" w:eastAsia="仿宋_GB2312" w:cs="仿宋_GB2312"/>
                <w:color w:val="auto"/>
                <w:kern w:val="0"/>
                <w:sz w:val="28"/>
                <w:szCs w:val="28"/>
              </w:rPr>
              <w:t>30分（初级工、中级工）</w:t>
            </w:r>
          </w:p>
          <w:p>
            <w:pPr>
              <w:keepNext w:val="0"/>
              <w:keepLines w:val="0"/>
              <w:pageBreakBefore w:val="0"/>
              <w:widowControl/>
              <w:kinsoku/>
              <w:wordWrap/>
              <w:overflowPunct/>
              <w:topLinePunct w:val="0"/>
              <w:autoSpaceDE/>
              <w:autoSpaceDN/>
              <w:bidi w:val="0"/>
              <w:adjustRightInd/>
              <w:snapToGrid/>
              <w:spacing w:line="560" w:lineRule="exact"/>
              <w:jc w:val="center"/>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20分（高级工、技师）</w:t>
            </w:r>
          </w:p>
        </w:tc>
        <w:tc>
          <w:tcPr>
            <w:tcW w:w="165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jc w:val="center"/>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单项选</w:t>
            </w:r>
            <w:bookmarkStart w:id="7" w:name="_GoBack"/>
            <w:bookmarkEnd w:id="7"/>
            <w:r>
              <w:rPr>
                <w:rFonts w:hint="eastAsia" w:ascii="仿宋_GB2312" w:hAnsi="仿宋_GB2312" w:eastAsia="仿宋_GB2312" w:cs="仿宋_GB2312"/>
                <w:color w:val="auto"/>
                <w:kern w:val="0"/>
                <w:sz w:val="28"/>
                <w:szCs w:val="28"/>
              </w:rPr>
              <w:t>择题</w:t>
            </w:r>
          </w:p>
        </w:tc>
        <w:tc>
          <w:tcPr>
            <w:tcW w:w="223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60" w:lineRule="exact"/>
              <w:jc w:val="center"/>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40题</w:t>
            </w:r>
          </w:p>
        </w:tc>
      </w:tr>
    </w:tbl>
    <w:p>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参加《公共课程》和《专业理论》科目考试的人员应在本年9月30日前登录福建省机关事业单位工勤人员岗位继续教育网络培训平台（http://gkp</w:t>
      </w:r>
      <w:bookmarkStart w:id="1" w:name="_Hlt8718185"/>
      <w:r>
        <w:rPr>
          <w:rFonts w:hint="eastAsia" w:ascii="仿宋_GB2312" w:hAnsi="仿宋_GB2312" w:eastAsia="仿宋_GB2312" w:cs="仿宋_GB2312"/>
          <w:color w:val="auto"/>
          <w:sz w:val="32"/>
          <w:szCs w:val="32"/>
        </w:rPr>
        <w:t>x</w:t>
      </w:r>
      <w:bookmarkEnd w:id="1"/>
      <w:r>
        <w:rPr>
          <w:rFonts w:hint="eastAsia" w:ascii="仿宋_GB2312" w:hAnsi="仿宋_GB2312" w:eastAsia="仿宋_GB2312" w:cs="仿宋_GB2312"/>
          <w:color w:val="auto"/>
          <w:sz w:val="32"/>
          <w:szCs w:val="32"/>
        </w:rPr>
        <w:t>.</w:t>
      </w:r>
      <w:bookmarkStart w:id="2" w:name="_Hlt8718143"/>
      <w:r>
        <w:rPr>
          <w:rFonts w:hint="eastAsia" w:ascii="仿宋_GB2312" w:hAnsi="仿宋_GB2312" w:eastAsia="仿宋_GB2312" w:cs="仿宋_GB2312"/>
          <w:color w:val="auto"/>
          <w:sz w:val="32"/>
          <w:szCs w:val="32"/>
        </w:rPr>
        <w:t>f</w:t>
      </w:r>
      <w:bookmarkEnd w:id="2"/>
      <w:r>
        <w:rPr>
          <w:rFonts w:hint="eastAsia" w:ascii="仿宋_GB2312" w:hAnsi="仿宋_GB2312" w:eastAsia="仿宋_GB2312" w:cs="仿宋_GB2312"/>
          <w:color w:val="auto"/>
          <w:sz w:val="32"/>
          <w:szCs w:val="32"/>
        </w:rPr>
        <w:t>j</w:t>
      </w:r>
      <w:bookmarkStart w:id="3" w:name="_Hlt8718349"/>
      <w:bookmarkStart w:id="4" w:name="_Hlt8718122"/>
      <w:bookmarkStart w:id="5" w:name="_Hlt8718123"/>
      <w:r>
        <w:rPr>
          <w:rFonts w:hint="eastAsia" w:ascii="仿宋_GB2312" w:hAnsi="仿宋_GB2312" w:eastAsia="仿宋_GB2312" w:cs="仿宋_GB2312"/>
          <w:color w:val="auto"/>
          <w:sz w:val="32"/>
          <w:szCs w:val="32"/>
        </w:rPr>
        <w:t>r</w:t>
      </w:r>
      <w:bookmarkEnd w:id="3"/>
      <w:bookmarkEnd w:id="4"/>
      <w:bookmarkEnd w:id="5"/>
      <w:r>
        <w:rPr>
          <w:rFonts w:hint="eastAsia" w:ascii="仿宋_GB2312" w:hAnsi="仿宋_GB2312" w:eastAsia="仿宋_GB2312" w:cs="仿宋_GB2312"/>
          <w:color w:val="auto"/>
          <w:sz w:val="32"/>
          <w:szCs w:val="32"/>
        </w:rPr>
        <w:t>st.cn）参加继续教育学习并完成网上测试。</w:t>
      </w:r>
    </w:p>
    <w:p>
      <w:pPr>
        <w:keepNext w:val="0"/>
        <w:keepLines w:val="0"/>
        <w:pageBreakBefore w:val="0"/>
        <w:kinsoku/>
        <w:wordWrap/>
        <w:overflowPunct/>
        <w:topLinePunct w:val="0"/>
        <w:autoSpaceDE/>
        <w:autoSpaceDN/>
        <w:bidi w:val="0"/>
        <w:adjustRightInd/>
        <w:snapToGrid/>
        <w:spacing w:line="560" w:lineRule="exact"/>
        <w:ind w:firstLine="320" w:firstLineChars="1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（2）《技能实操》科目采取现场实际操作测试或开卷笔试两种形式，笔试题型为主观题，总分100分。</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（二）考试时间</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1.笔试考试时间。全省统一组织考试，定于9月5日（星期日），具体为：</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上午： 9:00—11:00  考《公共课程》</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下午： 13:30-15:30  考《专业理论》</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16:00-17:30  考《技能实操》（开卷）</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2.部分工种技能实操现场测试的具体时间由省工考中心另行通知。</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right="-17" w:firstLine="640" w:firstLineChars="200"/>
        <w:jc w:val="left"/>
        <w:rPr>
          <w:rFonts w:hint="eastAsia" w:ascii="仿宋_GB2312" w:hAnsi="仿宋_GB2312" w:eastAsia="仿宋_GB2312" w:cs="仿宋_GB2312"/>
          <w:b w:val="0"/>
          <w:bCs/>
          <w:color w:val="auto"/>
          <w:kern w:val="0"/>
          <w:sz w:val="32"/>
          <w:szCs w:val="32"/>
          <w:shd w:val="clear" w:color="auto" w:fill="FFFFFF"/>
        </w:rPr>
      </w:pPr>
      <w:r>
        <w:rPr>
          <w:rFonts w:hint="eastAsia" w:ascii="仿宋_GB2312" w:hAnsi="仿宋_GB2312" w:eastAsia="仿宋_GB2312" w:cs="仿宋_GB2312"/>
          <w:b w:val="0"/>
          <w:bCs/>
          <w:color w:val="auto"/>
          <w:kern w:val="0"/>
          <w:sz w:val="32"/>
          <w:szCs w:val="32"/>
          <w:shd w:val="clear" w:color="auto" w:fill="FFFFFF"/>
        </w:rPr>
        <w:t>（三）教材订购</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right="-17" w:firstLine="640" w:firstLineChars="200"/>
        <w:jc w:val="left"/>
        <w:rPr>
          <w:rFonts w:hint="eastAsia" w:ascii="仿宋_GB2312" w:hAnsi="仿宋_GB2312" w:eastAsia="仿宋_GB2312" w:cs="仿宋_GB2312"/>
          <w:color w:val="auto"/>
          <w:kern w:val="0"/>
          <w:sz w:val="32"/>
          <w:szCs w:val="32"/>
          <w:u w:val="single"/>
          <w:shd w:val="clear" w:color="auto" w:fill="FFFFFF"/>
        </w:rPr>
      </w:pPr>
      <w:r>
        <w:rPr>
          <w:rFonts w:hint="eastAsia" w:ascii="仿宋_GB2312" w:hAnsi="仿宋_GB2312" w:eastAsia="仿宋_GB2312" w:cs="仿宋_GB2312"/>
          <w:color w:val="auto"/>
          <w:kern w:val="0"/>
          <w:sz w:val="32"/>
          <w:szCs w:val="32"/>
          <w:shd w:val="clear" w:color="auto" w:fill="FFFFFF"/>
        </w:rPr>
        <w:t>报考人员可根据书目自行购买教材或登录</w:t>
      </w: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HYPERLINK "http://gkps.59iedu.com/WebFjsgkBook" </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color w:val="auto"/>
          <w:kern w:val="0"/>
          <w:sz w:val="32"/>
          <w:szCs w:val="32"/>
          <w:u w:val="single"/>
          <w:shd w:val="clear" w:color="auto" w:fill="FFFFFF"/>
        </w:rPr>
        <w:t>http://gkps.59</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leftChars="0" w:right="-17" w:firstLine="0" w:firstLineChars="0"/>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u w:val="single"/>
          <w:shd w:val="clear" w:color="auto" w:fill="FFFFFF"/>
        </w:rPr>
        <w:t>iedu.com/WebFjsgkBook</w:t>
      </w:r>
      <w:r>
        <w:rPr>
          <w:rFonts w:hint="eastAsia" w:ascii="仿宋_GB2312" w:hAnsi="仿宋_GB2312" w:eastAsia="仿宋_GB2312" w:cs="仿宋_GB2312"/>
          <w:color w:val="auto"/>
          <w:kern w:val="0"/>
          <w:sz w:val="32"/>
          <w:szCs w:val="32"/>
          <w:u w:val="single"/>
          <w:shd w:val="clear" w:color="auto" w:fill="FFFFFF"/>
        </w:rPr>
        <w:fldChar w:fldCharType="end"/>
      </w:r>
      <w:r>
        <w:rPr>
          <w:rFonts w:hint="eastAsia" w:ascii="仿宋_GB2312" w:hAnsi="仿宋_GB2312" w:eastAsia="仿宋_GB2312" w:cs="仿宋_GB2312"/>
          <w:color w:val="auto"/>
          <w:kern w:val="0"/>
          <w:sz w:val="32"/>
          <w:szCs w:val="32"/>
          <w:shd w:val="clear" w:color="auto" w:fill="FFFFFF"/>
        </w:rPr>
        <w:t>代购（具体书目见省工考中心网站）。</w:t>
      </w:r>
    </w:p>
    <w:p>
      <w:pPr>
        <w:pStyle w:val="8"/>
        <w:keepNext w:val="0"/>
        <w:keepLines w:val="0"/>
        <w:pageBreakBefore w:val="0"/>
        <w:kinsoku/>
        <w:wordWrap/>
        <w:overflowPunct/>
        <w:topLinePunct w:val="0"/>
        <w:autoSpaceDE/>
        <w:autoSpaceDN/>
        <w:bidi w:val="0"/>
        <w:adjustRightInd/>
        <w:snapToGrid/>
        <w:spacing w:line="560" w:lineRule="exact"/>
        <w:rPr>
          <w:rFonts w:hint="eastAsia" w:ascii="仿宋_GB2312" w:hAnsi="仿宋_GB2312" w:eastAsia="仿宋_GB2312" w:cs="仿宋_GB2312"/>
          <w:color w:val="auto"/>
          <w:sz w:val="32"/>
          <w:szCs w:val="32"/>
        </w:rPr>
      </w:pPr>
    </w:p>
    <w:p>
      <w:pPr>
        <w:keepNext w:val="0"/>
        <w:keepLines w:val="0"/>
        <w:pageBreakBefore w:val="0"/>
        <w:kinsoku/>
        <w:wordWrap/>
        <w:overflowPunct/>
        <w:topLinePunct w:val="0"/>
        <w:autoSpaceDE/>
        <w:autoSpaceDN/>
        <w:bidi w:val="0"/>
        <w:adjustRightInd/>
        <w:snapToGrid/>
        <w:spacing w:line="560" w:lineRule="exact"/>
        <w:ind w:left="960" w:leftChars="200" w:hanging="320" w:hangingChars="100"/>
        <w:textAlignment w:val="top"/>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附件：</w:t>
      </w:r>
      <w:bookmarkStart w:id="6" w:name="BodyEnd"/>
      <w:bookmarkEnd w:id="6"/>
      <w:r>
        <w:rPr>
          <w:rFonts w:hint="eastAsia" w:ascii="仿宋_GB2312" w:hAnsi="仿宋_GB2312" w:eastAsia="仿宋_GB2312" w:cs="仿宋_GB2312"/>
          <w:color w:val="auto"/>
          <w:sz w:val="32"/>
          <w:szCs w:val="32"/>
        </w:rPr>
        <mc:AlternateContent>
          <mc:Choice Requires="wps">
            <w:drawing>
              <wp:anchor distT="0" distB="0" distL="114300" distR="114300" simplePos="0" relativeHeight="251663360" behindDoc="0" locked="1" layoutInCell="1" hidden="1" allowOverlap="1">
                <wp:simplePos x="0" y="0"/>
                <wp:positionH relativeFrom="margin">
                  <wp:posOffset>201930</wp:posOffset>
                </wp:positionH>
                <wp:positionV relativeFrom="page">
                  <wp:posOffset>8919210</wp:posOffset>
                </wp:positionV>
                <wp:extent cx="5200650" cy="360680"/>
                <wp:effectExtent l="0" t="0" r="0" b="0"/>
                <wp:wrapTopAndBottom/>
                <wp:docPr id="1" name="文本框 1" hidden="1"/>
                <wp:cNvGraphicFramePr/>
                <a:graphic xmlns:a="http://schemas.openxmlformats.org/drawingml/2006/main">
                  <a:graphicData uri="http://schemas.microsoft.com/office/word/2010/wordprocessingShape">
                    <wps:wsp>
                      <wps:cNvSpPr txBox="1"/>
                      <wps:spPr>
                        <a:xfrm>
                          <a:off x="0" y="0"/>
                          <a:ext cx="5200650" cy="360680"/>
                        </a:xfrm>
                        <a:prstGeom prst="rect">
                          <a:avLst/>
                        </a:prstGeom>
                        <a:noFill/>
                        <a:ln>
                          <a:noFill/>
                        </a:ln>
                      </wps:spPr>
                      <wps:txbx>
                        <w:txbxContent>
                          <w:p>
                            <w:pPr>
                              <w:spacing w:line="590" w:lineRule="exact"/>
                              <w:ind w:left="981" w:hanging="981"/>
                              <w:rPr>
                                <w:rFonts w:hint="eastAsia" w:ascii="仿宋_GB2312"/>
                                <w:szCs w:val="32"/>
                              </w:rPr>
                            </w:pPr>
                            <w:r>
                              <w:rPr>
                                <w:rFonts w:hint="eastAsia" w:ascii="仿宋_GB2312"/>
                                <w:sz w:val="28"/>
                                <w:szCs w:val="28"/>
                              </w:rPr>
                              <w:t>抄送：</w:t>
                            </w:r>
                            <w:r>
                              <w:rPr>
                                <w:rFonts w:hint="eastAsia" w:ascii="仿宋_GB2312"/>
                                <w:szCs w:val="32"/>
                              </w:rPr>
                              <w:t>。</w:t>
                            </w:r>
                          </w:p>
                          <w:p>
                            <w:pPr>
                              <w:spacing w:line="560" w:lineRule="exact"/>
                              <w:ind w:left="964" w:hanging="964"/>
                              <w:rPr>
                                <w:rFonts w:hint="eastAsia" w:ascii="仿宋_GB2312"/>
                              </w:rPr>
                            </w:pPr>
                          </w:p>
                          <w:p>
                            <w:pPr>
                              <w:spacing w:line="560" w:lineRule="exact"/>
                              <w:ind w:left="964" w:hanging="964"/>
                              <w:rPr>
                                <w:rFonts w:ascii="仿宋_GB2312"/>
                              </w:rPr>
                            </w:pPr>
                          </w:p>
                        </w:txbxContent>
                      </wps:txbx>
                      <wps:bodyPr lIns="0" tIns="0" rIns="0" bIns="0" upright="1"/>
                    </wps:wsp>
                  </a:graphicData>
                </a:graphic>
              </wp:anchor>
            </w:drawing>
          </mc:Choice>
          <mc:Fallback>
            <w:pict>
              <v:shape id="_x0000_s1026" o:spid="_x0000_s1026" o:spt="202" type="#_x0000_t202" style="position:absolute;left:0pt;margin-left:15.9pt;margin-top:702.3pt;height:28.4pt;width:409.5pt;mso-position-horizontal-relative:margin;mso-position-vertical-relative:page;mso-wrap-distance-bottom:0pt;mso-wrap-distance-top:0pt;visibility:hidden;z-index:251663360;mso-width-relative:page;mso-height-relative:page;" filled="f" stroked="f" coordsize="21600,21600" o:gfxdata="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FSQ3wDXAAAADAEAAA8AAAAAAAAAAQAgAAAAIgAAAGRycy9kb3ducmV2LnhtbFBL&#10;AQIUABQAAAAIAIdO4kAdHAxuvgEAAH0DAAAOAAAAAAAAAAEAIAAAACYBAABkcnMvZTJvRG9jLnht&#10;bFBLBQYAAAAABgAGAFkBAABWBQAAAAA=&#10;">
                <v:fill on="f" focussize="0,0"/>
                <v:stroke on="f"/>
                <v:imagedata o:title=""/>
                <o:lock v:ext="edit" aspectratio="f"/>
                <v:textbox inset="0mm,0mm,0mm,0mm">
                  <w:txbxContent>
                    <w:p>
                      <w:pPr>
                        <w:spacing w:line="590" w:lineRule="exact"/>
                        <w:ind w:left="981" w:hanging="981"/>
                        <w:rPr>
                          <w:rFonts w:hint="eastAsia" w:ascii="仿宋_GB2312"/>
                          <w:szCs w:val="32"/>
                        </w:rPr>
                      </w:pPr>
                      <w:r>
                        <w:rPr>
                          <w:rFonts w:hint="eastAsia" w:ascii="仿宋_GB2312"/>
                          <w:sz w:val="28"/>
                          <w:szCs w:val="28"/>
                        </w:rPr>
                        <w:t>抄送：</w:t>
                      </w:r>
                      <w:r>
                        <w:rPr>
                          <w:rFonts w:hint="eastAsia" w:ascii="仿宋_GB2312"/>
                          <w:szCs w:val="32"/>
                        </w:rPr>
                        <w:t>。</w:t>
                      </w:r>
                    </w:p>
                    <w:p>
                      <w:pPr>
                        <w:spacing w:line="560" w:lineRule="exact"/>
                        <w:ind w:left="964" w:hanging="964"/>
                        <w:rPr>
                          <w:rFonts w:hint="eastAsia" w:ascii="仿宋_GB2312"/>
                        </w:rPr>
                      </w:pPr>
                    </w:p>
                    <w:p>
                      <w:pPr>
                        <w:spacing w:line="560" w:lineRule="exact"/>
                        <w:ind w:left="964" w:hanging="964"/>
                        <w:rPr>
                          <w:rFonts w:ascii="仿宋_GB2312"/>
                        </w:rPr>
                      </w:pPr>
                    </w:p>
                  </w:txbxContent>
                </v:textbox>
                <w10:wrap type="topAndBottom"/>
                <w10:anchorlock/>
              </v:shape>
            </w:pict>
          </mc:Fallback>
        </mc:AlternateContent>
      </w:r>
      <w:r>
        <w:rPr>
          <w:rFonts w:hint="eastAsia" w:ascii="仿宋_GB2312" w:hAnsi="仿宋_GB2312" w:eastAsia="仿宋_GB2312" w:cs="仿宋_GB2312"/>
          <w:color w:val="auto"/>
          <w:sz w:val="32"/>
          <w:szCs w:val="32"/>
        </w:rPr>
        <mc:AlternateContent>
          <mc:Choice Requires="wps">
            <w:drawing>
              <wp:anchor distT="0" distB="0" distL="114300" distR="114300" simplePos="0" relativeHeight="251662336" behindDoc="0" locked="1" layoutInCell="1" hidden="1" allowOverlap="1">
                <wp:simplePos x="0" y="0"/>
                <wp:positionH relativeFrom="column">
                  <wp:posOffset>237490</wp:posOffset>
                </wp:positionH>
                <wp:positionV relativeFrom="page">
                  <wp:posOffset>9072880</wp:posOffset>
                </wp:positionV>
                <wp:extent cx="3000375" cy="360045"/>
                <wp:effectExtent l="0" t="0" r="0" b="0"/>
                <wp:wrapTopAndBottom/>
                <wp:docPr id="5" name="文本框 5" hidden="1"/>
                <wp:cNvGraphicFramePr/>
                <a:graphic xmlns:a="http://schemas.openxmlformats.org/drawingml/2006/main">
                  <a:graphicData uri="http://schemas.microsoft.com/office/word/2010/wordprocessingShape">
                    <wps:wsp>
                      <wps:cNvSpPr txBox="1"/>
                      <wps:spPr>
                        <a:xfrm>
                          <a:off x="0" y="0"/>
                          <a:ext cx="3000375" cy="360045"/>
                        </a:xfrm>
                        <a:prstGeom prst="rect">
                          <a:avLst/>
                        </a:prstGeom>
                        <a:noFill/>
                        <a:ln>
                          <a:noFill/>
                        </a:ln>
                      </wps:spPr>
                      <wps:txbx>
                        <w:txbxContent>
                          <w:p>
                            <w:pPr>
                              <w:pStyle w:val="2"/>
                              <w:rPr>
                                <w:rFonts w:hint="eastAsia" w:ascii="方正仿宋简体" w:eastAsia="方正仿宋简体"/>
                                <w:sz w:val="31"/>
                                <w:szCs w:val="31"/>
                              </w:rPr>
                            </w:pPr>
                          </w:p>
                        </w:txbxContent>
                      </wps:txbx>
                      <wps:bodyPr lIns="0" tIns="0" rIns="0" bIns="0" upright="1"/>
                    </wps:wsp>
                  </a:graphicData>
                </a:graphic>
              </wp:anchor>
            </w:drawing>
          </mc:Choice>
          <mc:Fallback>
            <w:pict>
              <v:shape id="_x0000_s1026" o:spid="_x0000_s1026" o:spt="202" type="#_x0000_t202" style="position:absolute;left:0pt;margin-left:18.7pt;margin-top:714.4pt;height:28.35pt;width:236.25pt;mso-position-vertical-relative:page;mso-wrap-distance-bottom:0pt;mso-wrap-distance-top:0pt;visibility:hidden;z-index:251662336;mso-width-relative:page;mso-height-relative:page;" filled="f" stroked="f" coordsize="21600,21600" o:gfxdata="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BJKf5/1wAAAAwBAAAPAAAAAAAAAAEAIAAAACIAAABkcnMvZG93bnJldi54bWxQ&#10;SwECFAAUAAAACACHTuJAnJdQ2r8BAAB9AwAADgAAAAAAAAABACAAAAAmAQAAZHJzL2Uyb0RvYy54&#10;bWxQSwUGAAAAAAYABgBZAQAAVwUAAAAA&#10;">
                <v:fill on="f" focussize="0,0"/>
                <v:stroke on="f"/>
                <v:imagedata o:title=""/>
                <o:lock v:ext="edit" aspectratio="f"/>
                <v:textbox inset="0mm,0mm,0mm,0mm">
                  <w:txbxContent>
                    <w:p>
                      <w:pPr>
                        <w:pStyle w:val="2"/>
                        <w:rPr>
                          <w:rFonts w:hint="eastAsia" w:ascii="方正仿宋简体" w:eastAsia="方正仿宋简体"/>
                          <w:sz w:val="31"/>
                          <w:szCs w:val="31"/>
                        </w:rPr>
                      </w:pPr>
                    </w:p>
                  </w:txbxContent>
                </v:textbox>
                <w10:wrap type="topAndBottom"/>
                <w10:anchorlock/>
              </v:shape>
            </w:pict>
          </mc:Fallback>
        </mc:AlternateContent>
      </w:r>
      <w:r>
        <w:rPr>
          <w:rFonts w:hint="eastAsia" w:ascii="仿宋_GB2312" w:hAnsi="仿宋_GB2312" w:eastAsia="仿宋_GB2312" w:cs="仿宋_GB2312"/>
          <w:color w:val="auto"/>
          <w:sz w:val="32"/>
          <w:szCs w:val="32"/>
        </w:rPr>
        <mc:AlternateContent>
          <mc:Choice Requires="wps">
            <w:drawing>
              <wp:anchor distT="0" distB="0" distL="114300" distR="114300" simplePos="0" relativeHeight="251661312" behindDoc="0" locked="1" layoutInCell="1" hidden="1" allowOverlap="1">
                <wp:simplePos x="0" y="0"/>
                <wp:positionH relativeFrom="column">
                  <wp:posOffset>3236595</wp:posOffset>
                </wp:positionH>
                <wp:positionV relativeFrom="page">
                  <wp:posOffset>9072880</wp:posOffset>
                </wp:positionV>
                <wp:extent cx="2333625" cy="360045"/>
                <wp:effectExtent l="0" t="0" r="0" b="0"/>
                <wp:wrapTopAndBottom/>
                <wp:docPr id="4" name="文本框 4" hidden="1"/>
                <wp:cNvGraphicFramePr/>
                <a:graphic xmlns:a="http://schemas.openxmlformats.org/drawingml/2006/main">
                  <a:graphicData uri="http://schemas.microsoft.com/office/word/2010/wordprocessingShape">
                    <wps:wsp>
                      <wps:cNvSpPr txBox="1"/>
                      <wps:spPr>
                        <a:xfrm>
                          <a:off x="0" y="0"/>
                          <a:ext cx="2333625" cy="360045"/>
                        </a:xfrm>
                        <a:prstGeom prst="rect">
                          <a:avLst/>
                        </a:prstGeom>
                        <a:noFill/>
                        <a:ln>
                          <a:noFill/>
                        </a:ln>
                      </wps:spPr>
                      <wps:txbx>
                        <w:txbxContent>
                          <w:p>
                            <w:pPr>
                              <w:wordWrap w:val="0"/>
                              <w:jc w:val="right"/>
                              <w:rPr>
                                <w:rFonts w:hint="eastAsia" w:ascii="方正仿宋简体" w:eastAsia="方正仿宋简体"/>
                                <w:sz w:val="31"/>
                                <w:szCs w:val="31"/>
                              </w:rPr>
                            </w:pPr>
                            <w:r>
                              <w:rPr>
                                <w:rFonts w:hint="eastAsia" w:ascii="方正仿宋简体" w:eastAsia="方正仿宋简体"/>
                                <w:sz w:val="31"/>
                                <w:szCs w:val="31"/>
                              </w:rPr>
                              <w:t xml:space="preserve">2021年4月27日翻印  </w:t>
                            </w:r>
                          </w:p>
                        </w:txbxContent>
                      </wps:txbx>
                      <wps:bodyPr lIns="0" tIns="0" rIns="0" bIns="0" upright="1"/>
                    </wps:wsp>
                  </a:graphicData>
                </a:graphic>
              </wp:anchor>
            </w:drawing>
          </mc:Choice>
          <mc:Fallback>
            <w:pict>
              <v:shape id="_x0000_s1026" o:spid="_x0000_s1026" o:spt="202" type="#_x0000_t202" style="position:absolute;left:0pt;margin-left:254.85pt;margin-top:714.4pt;height:28.35pt;width:183.75pt;mso-position-vertical-relative:page;mso-wrap-distance-bottom:0pt;mso-wrap-distance-top:0pt;visibility:hidden;z-index:251661312;mso-width-relative:page;mso-height-relative:page;" filled="f" stroked="f" coordsize="21600,21600" o:gfxdata="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D+jf3zZAAAADQEAAA8AAAAAAAAAAQAgAAAAIgAAAGRycy9kb3ducmV2Lnht&#10;bFBLAQIUABQAAAAIAIdO4kCO5smLvwEAAH0DAAAOAAAAAAAAAAEAIAAAACgBAABkcnMvZTJvRG9j&#10;LnhtbFBLBQYAAAAABgAGAFkBAABZBQAAAAA=&#10;">
                <v:fill on="f" focussize="0,0"/>
                <v:stroke on="f"/>
                <v:imagedata o:title=""/>
                <o:lock v:ext="edit" aspectratio="f"/>
                <v:textbox inset="0mm,0mm,0mm,0mm">
                  <w:txbxContent>
                    <w:p>
                      <w:pPr>
                        <w:wordWrap w:val="0"/>
                        <w:jc w:val="right"/>
                        <w:rPr>
                          <w:rFonts w:hint="eastAsia" w:ascii="方正仿宋简体" w:eastAsia="方正仿宋简体"/>
                          <w:sz w:val="31"/>
                          <w:szCs w:val="31"/>
                        </w:rPr>
                      </w:pPr>
                      <w:r>
                        <w:rPr>
                          <w:rFonts w:hint="eastAsia" w:ascii="方正仿宋简体" w:eastAsia="方正仿宋简体"/>
                          <w:sz w:val="31"/>
                          <w:szCs w:val="31"/>
                        </w:rPr>
                        <w:t xml:space="preserve">2021年4月27日翻印  </w:t>
                      </w:r>
                    </w:p>
                  </w:txbxContent>
                </v:textbox>
                <w10:wrap type="topAndBottom"/>
                <w10:anchorlock/>
              </v:shape>
            </w:pict>
          </mc:Fallback>
        </mc:AlternateContent>
      </w:r>
      <w:r>
        <w:rPr>
          <w:rFonts w:hint="eastAsia" w:ascii="仿宋_GB2312" w:hAnsi="仿宋_GB2312" w:eastAsia="仿宋_GB2312" w:cs="仿宋_GB2312"/>
          <w:color w:val="auto"/>
          <w:sz w:val="32"/>
          <w:szCs w:val="32"/>
        </w:rPr>
        <mc:AlternateContent>
          <mc:Choice Requires="wps">
            <w:drawing>
              <wp:anchor distT="0" distB="0" distL="114300" distR="114300" simplePos="0" relativeHeight="251660288" behindDoc="0" locked="1" layoutInCell="1" hidden="1" allowOverlap="1">
                <wp:simplePos x="0" y="0"/>
                <wp:positionH relativeFrom="margin">
                  <wp:posOffset>-14605</wp:posOffset>
                </wp:positionH>
                <wp:positionV relativeFrom="page">
                  <wp:posOffset>9447530</wp:posOffset>
                </wp:positionV>
                <wp:extent cx="5579745" cy="0"/>
                <wp:effectExtent l="0" t="0" r="0" b="0"/>
                <wp:wrapTopAndBottom/>
                <wp:docPr id="3" name="直接连接符 3" hidden="1"/>
                <wp:cNvGraphicFramePr/>
                <a:graphic xmlns:a="http://schemas.openxmlformats.org/drawingml/2006/main">
                  <a:graphicData uri="http://schemas.microsoft.com/office/word/2010/wordprocessingShape">
                    <wps:wsp>
                      <wps:cNvCnPr/>
                      <wps:spPr>
                        <a:xfrm>
                          <a:off x="0" y="0"/>
                          <a:ext cx="5579745" cy="0"/>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15pt;margin-top:743.9pt;height:0pt;width:439.35pt;mso-position-horizontal-relative:margin;mso-position-vertical-relative:page;mso-wrap-distance-bottom:0pt;mso-wrap-distance-top:0pt;visibility:hidden;z-index:251660288;mso-width-relative:page;mso-height-relative:page;" filled="f" stroked="t" coordsize="21600,21600" o:gfxdata="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OpUl6HXAAAADAEAAA8AAAAAAAAAAQAgAAAAIgAAAGRycy9kb3ducmV2Lnht&#10;bFBLAQIUABQAAAAIAIdO4kArqK7T+gEAAPADAAAOAAAAAAAAAAEAIAAAACYBAABkcnMvZTJvRG9j&#10;LnhtbFBLBQYAAAAABgAGAFkBAACSBQAAAAA=&#10;">
                <v:fill on="f" focussize="0,0"/>
                <v:stroke weight="1pt" color="#000000" joinstyle="round"/>
                <v:imagedata o:title=""/>
                <o:lock v:ext="edit" aspectratio="f"/>
                <w10:wrap type="topAndBottom"/>
                <w10:anchorlock/>
              </v:line>
            </w:pict>
          </mc:Fallback>
        </mc:AlternateContent>
      </w:r>
      <w:r>
        <w:rPr>
          <w:rFonts w:hint="eastAsia" w:ascii="仿宋_GB2312" w:hAnsi="仿宋_GB2312" w:eastAsia="仿宋_GB2312" w:cs="仿宋_GB2312"/>
          <w:color w:val="auto"/>
          <w:sz w:val="32"/>
          <w:szCs w:val="32"/>
        </w:rPr>
        <w:t>关于做好2021年机关事业单位工勤人员技能等级岗</w:t>
      </w:r>
    </w:p>
    <w:p>
      <w:pPr>
        <w:keepNext w:val="0"/>
        <w:keepLines w:val="0"/>
        <w:pageBreakBefore w:val="0"/>
        <w:kinsoku/>
        <w:wordWrap/>
        <w:overflowPunct/>
        <w:topLinePunct w:val="0"/>
        <w:autoSpaceDE/>
        <w:autoSpaceDN/>
        <w:bidi w:val="0"/>
        <w:adjustRightInd/>
        <w:snapToGrid/>
        <w:spacing w:line="560" w:lineRule="exact"/>
        <w:ind w:left="960" w:leftChars="300" w:firstLine="640" w:firstLineChars="200"/>
        <w:textAlignment w:val="top"/>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位考核考务工作的通知</w:t>
      </w:r>
    </w:p>
    <w:p>
      <w:pPr>
        <w:pStyle w:val="8"/>
        <w:keepNext w:val="0"/>
        <w:keepLines w:val="0"/>
        <w:pageBreakBefore w:val="0"/>
        <w:kinsoku/>
        <w:wordWrap/>
        <w:overflowPunct/>
        <w:topLinePunct w:val="0"/>
        <w:autoSpaceDE/>
        <w:autoSpaceDN/>
        <w:bidi w:val="0"/>
        <w:adjustRightInd/>
        <w:snapToGrid/>
        <w:spacing w:line="560" w:lineRule="exact"/>
        <w:ind w:firstLine="320" w:firstLineChars="100"/>
        <w:rPr>
          <w:rFonts w:hint="eastAsia" w:ascii="仿宋_GB2312" w:hAnsi="仿宋_GB2312" w:eastAsia="仿宋_GB2312" w:cs="仿宋_GB2312"/>
          <w:color w:val="auto"/>
          <w:sz w:val="32"/>
          <w:szCs w:val="32"/>
        </w:rPr>
      </w:pPr>
    </w:p>
    <w:p>
      <w:pPr>
        <w:keepNext w:val="0"/>
        <w:keepLines w:val="0"/>
        <w:pageBreakBefore w:val="0"/>
        <w:kinsoku/>
        <w:wordWrap/>
        <w:overflowPunct/>
        <w:topLinePunct w:val="0"/>
        <w:autoSpaceDE/>
        <w:autoSpaceDN/>
        <w:bidi w:val="0"/>
        <w:adjustRightInd/>
        <w:snapToGrid/>
        <w:spacing w:line="560" w:lineRule="exact"/>
        <w:ind w:left="1600" w:hanging="1600" w:hangingChars="500"/>
        <w:jc w:val="left"/>
        <w:rPr>
          <w:rFonts w:hint="eastAsia" w:ascii="仿宋_GB2312" w:hAnsi="仿宋_GB2312" w:eastAsia="仿宋_GB2312" w:cs="仿宋_GB2312"/>
          <w:color w:val="auto"/>
          <w:sz w:val="32"/>
          <w:szCs w:val="32"/>
        </w:rPr>
      </w:pPr>
    </w:p>
    <w:p>
      <w:pPr>
        <w:keepNext w:val="0"/>
        <w:keepLines w:val="0"/>
        <w:pageBreakBefore w:val="0"/>
        <w:kinsoku/>
        <w:wordWrap/>
        <w:overflowPunct/>
        <w:topLinePunct w:val="0"/>
        <w:autoSpaceDE/>
        <w:autoSpaceDN/>
        <w:bidi w:val="0"/>
        <w:adjustRightInd/>
        <w:snapToGrid/>
        <w:spacing w:line="560" w:lineRule="exact"/>
        <w:rPr>
          <w:rFonts w:hint="eastAsia" w:ascii="仿宋_GB2312" w:hAnsi="仿宋_GB2312" w:eastAsia="仿宋_GB2312" w:cs="仿宋_GB2312"/>
          <w:color w:val="auto"/>
          <w:sz w:val="32"/>
          <w:szCs w:val="32"/>
        </w:rPr>
      </w:pPr>
    </w:p>
    <w:p>
      <w:pPr>
        <w:keepNext w:val="0"/>
        <w:keepLines w:val="0"/>
        <w:pageBreakBefore w:val="0"/>
        <w:kinsoku/>
        <w:wordWrap/>
        <w:overflowPunct/>
        <w:topLinePunct w:val="0"/>
        <w:autoSpaceDE/>
        <w:autoSpaceDN/>
        <w:bidi w:val="0"/>
        <w:adjustRightInd/>
        <w:snapToGrid/>
        <w:spacing w:line="560" w:lineRule="exact"/>
        <w:ind w:firstLine="4160" w:firstLineChars="13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教师工作部（</w:t>
      </w:r>
      <w:r>
        <w:rPr>
          <w:rFonts w:hint="eastAsia" w:ascii="仿宋_GB2312" w:hAnsi="仿宋_GB2312" w:eastAsia="仿宋_GB2312" w:cs="仿宋_GB2312"/>
          <w:color w:val="auto"/>
          <w:sz w:val="32"/>
          <w:szCs w:val="32"/>
        </w:rPr>
        <w:t>人事处</w:t>
      </w:r>
      <w:r>
        <w:rPr>
          <w:rFonts w:hint="eastAsia" w:ascii="仿宋_GB2312" w:hAnsi="仿宋_GB2312" w:eastAsia="仿宋_GB2312" w:cs="仿宋_GB2312"/>
          <w:color w:val="auto"/>
          <w:sz w:val="32"/>
          <w:szCs w:val="32"/>
          <w:lang w:eastAsia="zh-CN"/>
        </w:rPr>
        <w:t>、人才办）</w:t>
      </w:r>
    </w:p>
    <w:p>
      <w:pPr>
        <w:keepNext w:val="0"/>
        <w:keepLines w:val="0"/>
        <w:pageBreakBefore w:val="0"/>
        <w:kinsoku/>
        <w:wordWrap/>
        <w:overflowPunct/>
        <w:topLinePunct w:val="0"/>
        <w:autoSpaceDE/>
        <w:autoSpaceDN/>
        <w:bidi w:val="0"/>
        <w:adjustRightInd/>
        <w:snapToGrid/>
        <w:spacing w:line="560" w:lineRule="exact"/>
        <w:ind w:firstLine="5120" w:firstLineChars="16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月1</w:t>
      </w: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rPr>
        <w:t>日</w:t>
      </w:r>
    </w:p>
    <w:p>
      <w:pPr>
        <w:keepNext w:val="0"/>
        <w:keepLines w:val="0"/>
        <w:pageBreakBefore w:val="0"/>
        <w:kinsoku/>
        <w:wordWrap/>
        <w:overflowPunct/>
        <w:topLinePunct w:val="0"/>
        <w:autoSpaceDE/>
        <w:autoSpaceDN/>
        <w:bidi w:val="0"/>
        <w:adjustRightInd/>
        <w:snapToGrid/>
        <w:spacing w:line="560" w:lineRule="exact"/>
        <w:rPr>
          <w:rFonts w:hint="eastAsia" w:ascii="仿宋_GB2312" w:hAnsi="仿宋_GB2312" w:eastAsia="仿宋_GB2312" w:cs="仿宋_GB2312"/>
          <w:color w:val="auto"/>
          <w:sz w:val="32"/>
          <w:szCs w:val="32"/>
        </w:rPr>
      </w:pPr>
    </w:p>
    <w:p>
      <w:pPr>
        <w:keepNext w:val="0"/>
        <w:keepLines w:val="0"/>
        <w:pageBreakBefore w:val="0"/>
        <w:kinsoku/>
        <w:wordWrap/>
        <w:overflowPunct/>
        <w:topLinePunct w:val="0"/>
        <w:autoSpaceDE/>
        <w:autoSpaceDN/>
        <w:bidi w:val="0"/>
        <w:adjustRightInd/>
        <w:snapToGrid/>
        <w:spacing w:line="560" w:lineRule="exact"/>
        <w:rPr>
          <w:rFonts w:hint="eastAsia" w:ascii="仿宋_GB2312" w:hAnsi="仿宋_GB2312" w:eastAsia="仿宋_GB2312" w:cs="仿宋_GB2312"/>
          <w:color w:val="auto"/>
          <w:sz w:val="32"/>
          <w:szCs w:val="32"/>
        </w:rPr>
      </w:pPr>
    </w:p>
    <w:sectPr>
      <w:footerReference r:id="rId3" w:type="default"/>
      <w:pgSz w:w="11906" w:h="16838"/>
      <w:pgMar w:top="2098" w:right="1474" w:bottom="1984" w:left="1587" w:header="851" w:footer="992" w:gutter="0"/>
      <w:pgNumType w:fmt="numberInDash"/>
      <w:cols w:space="0" w:num="1"/>
      <w:rtlGutter w:val="0"/>
      <w:docGrid w:type="lines" w:linePitch="43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仿宋简体">
    <w:altName w:val="Arial Unicode MS"/>
    <w:panose1 w:val="02010601030101010101"/>
    <w:charset w:val="86"/>
    <w:family w:val="auto"/>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fyKa93AIAACQGAAAOAAAAAAAAAAEAIAAAAB8BAABkcnMvZTJvRG9jLnhtbFBLBQYA&#10;AAAABgAGAFkBAABtBgAAAAA=&#10;">
              <v:fill on="f" focussize="0,0"/>
              <v:stroke on="f" weight="0.5pt"/>
              <v:imagedata o:title=""/>
              <o:lock v:ext="edit" aspectratio="f"/>
              <v:textbox inset="0mm,0mm,0mm,0mm" style="mso-fit-shape-to-text:t;">
                <w:txbxContent>
                  <w:p>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52B9F4F"/>
    <w:multiLevelType w:val="singleLevel"/>
    <w:tmpl w:val="E52B9F4F"/>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9E3971"/>
    <w:rsid w:val="000850F2"/>
    <w:rsid w:val="00193D55"/>
    <w:rsid w:val="002F1F4D"/>
    <w:rsid w:val="00C70202"/>
    <w:rsid w:val="00E30EDF"/>
    <w:rsid w:val="02997FF6"/>
    <w:rsid w:val="04DB3B41"/>
    <w:rsid w:val="0C0B14D8"/>
    <w:rsid w:val="0D6D10B8"/>
    <w:rsid w:val="0FE44406"/>
    <w:rsid w:val="109E3971"/>
    <w:rsid w:val="17506BC7"/>
    <w:rsid w:val="1AD83BE5"/>
    <w:rsid w:val="1EF41299"/>
    <w:rsid w:val="20C955B2"/>
    <w:rsid w:val="24B11B9B"/>
    <w:rsid w:val="25261CF0"/>
    <w:rsid w:val="26DE1290"/>
    <w:rsid w:val="28BA0D4B"/>
    <w:rsid w:val="2D8760C0"/>
    <w:rsid w:val="2DB86D47"/>
    <w:rsid w:val="35021917"/>
    <w:rsid w:val="365E01B1"/>
    <w:rsid w:val="39E308D9"/>
    <w:rsid w:val="3BF80237"/>
    <w:rsid w:val="3E8A7A73"/>
    <w:rsid w:val="44F26A65"/>
    <w:rsid w:val="470E10E6"/>
    <w:rsid w:val="48097473"/>
    <w:rsid w:val="50727C12"/>
    <w:rsid w:val="508F71FD"/>
    <w:rsid w:val="57BE713E"/>
    <w:rsid w:val="592A3F03"/>
    <w:rsid w:val="6131237F"/>
    <w:rsid w:val="62630420"/>
    <w:rsid w:val="62EF046F"/>
    <w:rsid w:val="64480422"/>
    <w:rsid w:val="660E3BA1"/>
    <w:rsid w:val="693B33F5"/>
    <w:rsid w:val="6C5C33F1"/>
    <w:rsid w:val="6D0D1AFB"/>
    <w:rsid w:val="70C96869"/>
    <w:rsid w:val="71BD6E72"/>
    <w:rsid w:val="78CE00D1"/>
    <w:rsid w:val="79D076D5"/>
    <w:rsid w:val="7B4E7ED4"/>
    <w:rsid w:val="7CAB59B9"/>
    <w:rsid w:val="7EC14B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2"/>
      <w:sz w:val="32"/>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qFormat/>
    <w:uiPriority w:val="0"/>
    <w:rPr>
      <w:rFonts w:ascii="仿宋_GB2312"/>
    </w:rPr>
  </w:style>
  <w:style w:type="paragraph" w:styleId="3">
    <w:name w:val="footer"/>
    <w:basedOn w:val="1"/>
    <w:link w:val="10"/>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ascii="Calibri" w:hAnsi="Calibri" w:eastAsia="宋体"/>
      <w:kern w:val="0"/>
      <w:sz w:val="24"/>
    </w:rPr>
  </w:style>
  <w:style w:type="paragraph" w:customStyle="1" w:styleId="8">
    <w:name w:val="p0"/>
    <w:basedOn w:val="1"/>
    <w:qFormat/>
    <w:uiPriority w:val="0"/>
    <w:pPr>
      <w:widowControl/>
    </w:pPr>
    <w:rPr>
      <w:rFonts w:eastAsia="宋体"/>
      <w:kern w:val="0"/>
      <w:szCs w:val="32"/>
    </w:rPr>
  </w:style>
  <w:style w:type="character" w:customStyle="1" w:styleId="9">
    <w:name w:val="页眉 Char"/>
    <w:basedOn w:val="7"/>
    <w:link w:val="4"/>
    <w:qFormat/>
    <w:uiPriority w:val="0"/>
    <w:rPr>
      <w:rFonts w:eastAsia="仿宋_GB2312"/>
      <w:kern w:val="2"/>
      <w:sz w:val="18"/>
      <w:szCs w:val="18"/>
    </w:rPr>
  </w:style>
  <w:style w:type="character" w:customStyle="1" w:styleId="10">
    <w:name w:val="页脚 Char"/>
    <w:basedOn w:val="7"/>
    <w:link w:val="3"/>
    <w:qFormat/>
    <w:uiPriority w:val="0"/>
    <w:rPr>
      <w:rFonts w:eastAsia="仿宋_GB2312"/>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462</Words>
  <Characters>2640</Characters>
  <Lines>22</Lines>
  <Paragraphs>6</Paragraphs>
  <TotalTime>6</TotalTime>
  <ScaleCrop>false</ScaleCrop>
  <LinksUpToDate>false</LinksUpToDate>
  <CharactersWithSpaces>3096</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2019-06-18T08:49:00Z</dcterms:created>
  <dc:creator>连明伟</dc:creator>
  <cp:lastModifiedBy>任晓敏</cp:lastModifiedBy>
  <dcterms:modified xsi:type="dcterms:W3CDTF">2021-05-17T09:35:51Z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EFAD177341E448D298AD0ACA9B92C99F</vt:lpwstr>
  </property>
</Properties>
</file>