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_GB2312" w:eastAsia="楷体_GB2312"/>
          <w:spacing w:val="-100"/>
          <w:w w:val="150"/>
          <w:kern w:val="96"/>
          <w:sz w:val="32"/>
          <w:szCs w:val="32"/>
          <w:lang w:eastAsia="zh-CN"/>
        </w:rPr>
      </w:pPr>
      <w:r>
        <w:rPr>
          <w:rFonts w:ascii="Times New Roman"/>
          <w:color w:val="0C0C0C" w:themeColor="text1" w:themeTint="F2"/>
          <w:szCs w:val="32"/>
        </w:rPr>
        <w:pict>
          <v:shape id="_x0000_s2050" o:spid="_x0000_s2050" o:spt="136" type="#_x0000_t136" style="position:absolute;left:0pt;margin-left:14.25pt;margin-top:139.95pt;height:66.75pt;width:400.5pt;mso-wrap-distance-bottom:0pt;mso-wrap-distance-left:9pt;mso-wrap-distance-right:9pt;mso-wrap-distance-top:0pt;z-index:25165824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中共泉州师范学院委员会文件&#10;" style="font-family:方正小标宋简体;font-size:36pt;font-weight:bold;v-text-align:center;"/>
            <w10:wrap type="square"/>
          </v:shape>
        </w:pic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</w:t>
      </w:r>
    </w:p>
    <w:p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jc w:val="center"/>
        <w:rPr>
          <w:rFonts w:ascii="仿宋_GB2312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泉师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委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〔</w:t>
      </w:r>
      <w:r>
        <w:rPr>
          <w:rFonts w:ascii="仿宋_GB2312" w:hAnsi="Times New Roman" w:eastAsia="仿宋_GB2312" w:cs="宋体"/>
          <w:color w:val="000000"/>
          <w:kern w:val="0"/>
          <w:sz w:val="32"/>
          <w:szCs w:val="32"/>
        </w:rPr>
        <w:t>201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  <w:r>
        <w:rPr>
          <w:rFonts w:ascii="Times New Roman"/>
          <w:color w:val="0C0C0C" w:themeColor="text1" w:themeTint="F2"/>
          <w:sz w:val="28"/>
          <w:szCs w:val="28"/>
        </w:rPr>
        <w:pict>
          <v:line id="_x0000_s2051" o:spid="_x0000_s2051" o:spt="20" style="position:absolute;left:0pt;margin-left:-16.75pt;margin-top:3.3pt;height:0pt;width:443.25pt;z-index:251660288;mso-width-relative:page;mso-height-relative:page;" stroked="t" coordsize="21600,21600">
            <v:path arrowok="t"/>
            <v:fill focussize="0,0"/>
            <v:stroke weight="2.75pt" color="#FF0000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zh-CN"/>
        </w:rPr>
        <w:t>中共泉州师范学院委员会关于开展201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zh-CN"/>
        </w:rPr>
        <w:t>年党风廉政建设宣传教育月活动的通知</w:t>
      </w:r>
    </w:p>
    <w:p>
      <w:pPr>
        <w:spacing w:line="500" w:lineRule="exact"/>
        <w:jc w:val="center"/>
        <w:rPr>
          <w:rFonts w:ascii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各二级党委（党总支）、各学院、机关各部（处、室）、各直属单位：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为深入学习贯彻习近平新时代中国特色社会主义思想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 w:cs="宋体"/>
          <w:kern w:val="0"/>
          <w:sz w:val="32"/>
          <w:szCs w:val="32"/>
          <w:lang w:val="zh-CN" w:eastAsia="zh-CN"/>
        </w:rPr>
        <w:t>党的十九届四中全会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精神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，进一步落实党要管党、全面从严治党要求，</w:t>
      </w:r>
      <w:r>
        <w:rPr>
          <w:rFonts w:hint="eastAsia" w:ascii="仿宋_GB2312" w:eastAsia="仿宋_GB2312" w:cs="宋体"/>
          <w:kern w:val="0"/>
          <w:sz w:val="32"/>
          <w:szCs w:val="32"/>
          <w:u w:val="none"/>
          <w:lang w:val="en-US" w:eastAsia="zh-CN"/>
        </w:rPr>
        <w:t>深入开展巡视整改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，扎实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推进</w:t>
      </w:r>
      <w:r>
        <w:rPr>
          <w:rFonts w:hint="eastAsia" w:ascii="仿宋_GB2312" w:eastAsia="仿宋_GB2312" w:cs="宋体"/>
          <w:kern w:val="0"/>
          <w:sz w:val="32"/>
          <w:szCs w:val="32"/>
          <w:u w:val="none"/>
          <w:lang w:val="zh-CN"/>
        </w:rPr>
        <w:t>“</w:t>
      </w:r>
      <w:r>
        <w:rPr>
          <w:rFonts w:hint="eastAsia" w:ascii="仿宋_GB2312" w:eastAsia="仿宋_GB2312" w:cs="宋体"/>
          <w:kern w:val="0"/>
          <w:sz w:val="32"/>
          <w:szCs w:val="32"/>
          <w:u w:val="none"/>
          <w:lang w:val="en-US" w:eastAsia="zh-CN"/>
        </w:rPr>
        <w:t>不忘初心、牢记使命</w:t>
      </w:r>
      <w:r>
        <w:rPr>
          <w:rFonts w:hint="eastAsia" w:ascii="仿宋_GB2312" w:eastAsia="仿宋_GB2312" w:cs="宋体"/>
          <w:kern w:val="0"/>
          <w:sz w:val="32"/>
          <w:szCs w:val="32"/>
          <w:u w:val="none"/>
          <w:lang w:val="zh-CN"/>
        </w:rPr>
        <w:t>”</w:t>
      </w:r>
      <w:r>
        <w:rPr>
          <w:rFonts w:hint="eastAsia" w:ascii="仿宋_GB2312" w:eastAsia="仿宋_GB2312" w:cs="宋体"/>
          <w:kern w:val="0"/>
          <w:sz w:val="32"/>
          <w:szCs w:val="32"/>
          <w:u w:val="none"/>
          <w:lang w:val="en-US" w:eastAsia="zh-CN"/>
        </w:rPr>
        <w:t>主题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教育，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坚定不移地推进学校全面从严治党向纵深发展，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 w:eastAsia="zh-CN"/>
        </w:rPr>
        <w:t>为加快学校“三步走”发展步伐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营造风清气正政治生态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，经研究，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决定于11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至12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月在全校开展以“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不忘初心担使命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清正廉洁作表率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”</w:t>
      </w:r>
      <w:r>
        <w:rPr>
          <w:rFonts w:hint="eastAsia" w:ascii="仿宋_GB2312" w:eastAsia="仿宋_GB2312"/>
          <w:sz w:val="32"/>
          <w:szCs w:val="32"/>
        </w:rPr>
        <w:t>为主题的第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届党风廉政建设宣传教育月活动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。现就活动安排和要求通知如下：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  <w:lang w:val="en-US" w:eastAsia="zh-CN"/>
        </w:rPr>
        <w:t>一、活动安排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（一）学习贯彻党的十九届四中全会精神活动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深入学习贯彻党的十九届四中全会精神，把思想和行动统一到党中央决策部署上来，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准确把握全会的重大意义和精神实质，切实增强“四个意识”、坚定“四个自信”、做到“两个维护”。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责任单位：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各二级党委（党总支）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完成时限：1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（二）全面深入开展巡视整改工作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宋体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1.深入学习习近平总书记关于巡视工作的重要论述，贯彻落实省委于伟国书记在省委“五人小组”会议上的讲话精神，提升政治站位，强化政治担当，扎实推动全校全面整改，以实际行动坚决维护省委巡视的严肃性和权威性；强化巡视整改政治责任，以坚决的态度、迅速的行动、有力的措施，保质保量完成整改任务，以巡视整改的实际成效推动学校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/>
        </w:rPr>
        <w:t>责任单位：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机关各部（处、室）、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各二级党委（党总支）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/>
        </w:rPr>
        <w:t>完成时限：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2019年12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zh-CN"/>
        </w:rPr>
        <w:t>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结合巡视整改工作，深入开展领导干部廉政教育和谈心谈话，增强“不想腐”的自觉；加强廉政风险防控机制建设，推进建章立制，扎牢“不能腐”的笼子；严查违纪违法行为，强化“不敢腐”的震慑，一体推进“三不”机制，深化标本兼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责任单位：党政办、纪委综合室、组织部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完成时限：2019年12月底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严格落实中央八项规定及实施细则精神和省、市实施办法，紧盯重要时间节点，持续推进“1+X”专项督查，力戒形式主义、官僚主义，严防享乐主义、奢靡之风易发多发和隐形变异问题，持之以恒推动作风建设向纵深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责任单位：党政办、纪委综合室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完成时限：2019年12月底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（三）党员领导干部廉洁用权教育活动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组织党员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领导干部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深入学习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2019年新修订的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中国共产党问责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条例》，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进一步压实管党治党政治责任，层层传导压力，推动责任落实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各二级党委（党总支）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完成时限：1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月上旬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向全校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处级以上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干部发放《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党的十九大以来查处违纪违法党员干部案件警示录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zh-CN"/>
        </w:rPr>
        <w:t>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以案明纪、以案说法，教育引导党员干部坚定理想信念，坚守初心使命，严守党纪国法，带头廉洁自律，勇于担当作为。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负责单位：纪委办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完成时限：11月底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hint="eastAsia" w:ascii="仿宋_GB2312" w:eastAsia="仿宋_GB2312" w:cs="宋体"/>
          <w:b/>
          <w:color w:val="000000"/>
          <w:kern w:val="0"/>
          <w:sz w:val="32"/>
          <w:szCs w:val="32"/>
          <w:lang w:val="zh-CN"/>
        </w:rPr>
      </w:pPr>
      <w:r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zh-CN"/>
        </w:rPr>
        <w:t>（</w:t>
      </w:r>
      <w:r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zh-CN"/>
        </w:rPr>
        <w:t>）加强重点领域和关键环节廉政风险防</w:t>
      </w:r>
      <w:r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en-US" w:eastAsia="zh-CN"/>
        </w:rPr>
        <w:t>控</w:t>
      </w:r>
      <w:r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zh-CN"/>
        </w:rPr>
        <w:t>教育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组织机关部门领导干部、重点领域和关键环节岗位人员观看警示教育片《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叩问初心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》，筑牢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干部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思想道德防线，严守纪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法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底线，</w:t>
      </w:r>
      <w:r>
        <w:rPr>
          <w:rFonts w:hint="eastAsia" w:ascii="仿宋_GB2312" w:eastAsia="仿宋_GB2312" w:cs="Arial"/>
          <w:color w:val="000000"/>
          <w:sz w:val="32"/>
          <w:szCs w:val="32"/>
        </w:rPr>
        <w:t>深化廉洁</w:t>
      </w:r>
      <w:r>
        <w:rPr>
          <w:rFonts w:hint="eastAsia" w:ascii="仿宋_GB2312" w:eastAsia="仿宋_GB2312" w:cs="Arial"/>
          <w:color w:val="000000"/>
          <w:sz w:val="32"/>
          <w:szCs w:val="32"/>
          <w:lang w:val="en-US" w:eastAsia="zh-CN"/>
        </w:rPr>
        <w:t>自律</w:t>
      </w:r>
      <w:r>
        <w:rPr>
          <w:rFonts w:hint="eastAsia" w:ascii="仿宋_GB2312" w:eastAsia="仿宋_GB2312" w:cs="Arial"/>
          <w:color w:val="000000"/>
          <w:sz w:val="32"/>
          <w:szCs w:val="32"/>
        </w:rPr>
        <w:t>意识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负责单位：机关党委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协办单位：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纪委综合室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完成时限：11月底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zh-CN"/>
        </w:rPr>
      </w:pPr>
      <w:r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zh-CN"/>
        </w:rPr>
        <w:t>（</w:t>
      </w:r>
      <w:r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eastAsia="楷体_GB2312" w:cs="宋体"/>
          <w:b/>
          <w:color w:val="000000"/>
          <w:kern w:val="0"/>
          <w:sz w:val="32"/>
          <w:szCs w:val="32"/>
          <w:lang w:val="zh-CN"/>
        </w:rPr>
        <w:t>）推进廉政文化进校园活动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.邀请我校闽南文化研究方面专家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开展李光地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家风家规家训专题讲座，挖掘地方资源，弘扬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优秀传统文化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，丰富校园廉洁文化内涵。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负责单位：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纪委综合室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、宣传部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完成时限：1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月下旬</w:t>
      </w:r>
    </w:p>
    <w:p>
      <w:pPr>
        <w:spacing w:line="560" w:lineRule="exact"/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2.举办“铭记好家训、家风伴我行”大学生主题班团日活动，引导大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学生正确认识家风家训、弘扬家庭美德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主动践行家风家训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提升思想严格自律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崇廉尚洁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道德境界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培育崇廉尚洁的良好校园氛围。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配合单位：各二级学院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完成时限：12月底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（六）纪检监察队伍自身建设活动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1.深化学校纪检监察体制改革，开展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《中国共产党纪律检查机关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监督执纪工作规则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》《监察机关监督执法工作规定》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学习活动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担负起党章、宪法和监察法赋予的神圣职责，提高依规依纪依法履职能力和水平。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责任单位：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纪委综合室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完成时限：1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月底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both"/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.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加强对二级党委（党总支）纪检工作指导，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举办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二级党委（党总支）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纪检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培训班，增强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二级党委（党总支）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纪检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的责任意识和监督意识，提高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zh-CN"/>
        </w:rPr>
        <w:t>能力和水平。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纪委综合室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完成时限：11月底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学习贯彻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全国纪检监察干部监督工作培训班精神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及省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纪委监委干部监督工作有关会议、文件精神，健全内部工作机制，强化自我监督和制约，</w:t>
      </w:r>
      <w:r>
        <w:rPr>
          <w:rFonts w:hint="eastAsia" w:ascii="仿宋_GB2312" w:hAnsi="仿宋" w:eastAsia="仿宋_GB2312"/>
          <w:sz w:val="32"/>
          <w:szCs w:val="32"/>
        </w:rPr>
        <w:t>深入开展谈心谈话、廉政家访等活动，关注“八小时”以外情况，努力</w:t>
      </w:r>
      <w:r>
        <w:rPr>
          <w:rFonts w:hint="eastAsia" w:ascii="仿宋_GB2312" w:hAnsi="黑体" w:eastAsia="仿宋_GB2312"/>
          <w:sz w:val="32"/>
          <w:szCs w:val="32"/>
        </w:rPr>
        <w:t>打造忠诚干净担当的干部队伍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纪委综合室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完成时限：1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zh-CN"/>
        </w:rPr>
        <w:t>二、活动要求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加强组织领导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各负责单位、二级党委（党总支）要根据通知要求，对有关活动进行精心组织、周密部署，结合实际抓好落实，确保活动取得实效。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zh-CN"/>
        </w:rPr>
        <w:t>（二）加强宣传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报道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各负责单位、二级党委（党总支）要通过校园网、校报、微博、微信等媒介、平台加强对党风廉政建设宣传月活动的宣传报道，不断增强党风廉政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宣传教育的说服力、吸引力和感染力，努力营造良好的反腐倡廉舆论氛围。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CN"/>
        </w:rPr>
        <w:t>（三）及时总结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经验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在宣传教育月活动结束后，各负责单位、二级党委（党总支）要对本单位活动的开展情况进行总结，并将总结报告于12月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日前报送校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纪委综合室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 </w:t>
      </w:r>
    </w:p>
    <w:p>
      <w:pPr>
        <w:spacing w:line="560" w:lineRule="exact"/>
        <w:ind w:right="320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中共泉州师范学院委员会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8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41" w:afterLines="2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bookmarkEnd w:id="0"/>
    </w:p>
    <w:tbl>
      <w:tblPr>
        <w:tblStyle w:val="6"/>
        <w:tblW w:w="852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泉州师范学院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党政办公室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/>
    <w:sectPr>
      <w:footerReference r:id="rId3" w:type="default"/>
      <w:pgSz w:w="11906" w:h="16838"/>
      <w:pgMar w:top="1440" w:right="1800" w:bottom="2268" w:left="18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691"/>
        <w:tab w:val="clear" w:pos="4153"/>
      </w:tabs>
    </w:pPr>
    <w:r>
      <w:rPr>
        <w:sz w:val="18"/>
      </w:rPr>
      <w:pict>
        <v:shape id="_x0000_s4097" o:spid="_x0000_s4097" o:spt="202" type="#_x0000_t202" style="position:absolute;left:0pt;margin-top:-47.95pt;height:27.1pt;width:33.95pt;mso-position-horizontal:outside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227"/>
    <w:rsid w:val="000125D1"/>
    <w:rsid w:val="000B1ED2"/>
    <w:rsid w:val="000E20A4"/>
    <w:rsid w:val="000E694F"/>
    <w:rsid w:val="00143116"/>
    <w:rsid w:val="00144893"/>
    <w:rsid w:val="002319FD"/>
    <w:rsid w:val="002876D0"/>
    <w:rsid w:val="002A1EFA"/>
    <w:rsid w:val="002A4DA8"/>
    <w:rsid w:val="003955B5"/>
    <w:rsid w:val="00424C98"/>
    <w:rsid w:val="00467161"/>
    <w:rsid w:val="004755F0"/>
    <w:rsid w:val="004939C3"/>
    <w:rsid w:val="004B7450"/>
    <w:rsid w:val="004D087B"/>
    <w:rsid w:val="00521531"/>
    <w:rsid w:val="005B2081"/>
    <w:rsid w:val="005E2227"/>
    <w:rsid w:val="00601875"/>
    <w:rsid w:val="006018B5"/>
    <w:rsid w:val="006B7797"/>
    <w:rsid w:val="006C1292"/>
    <w:rsid w:val="006F2585"/>
    <w:rsid w:val="00724B97"/>
    <w:rsid w:val="007619CA"/>
    <w:rsid w:val="007A735E"/>
    <w:rsid w:val="007B7179"/>
    <w:rsid w:val="007C3736"/>
    <w:rsid w:val="008408CF"/>
    <w:rsid w:val="008A37DD"/>
    <w:rsid w:val="008F5DBD"/>
    <w:rsid w:val="00953B1C"/>
    <w:rsid w:val="009A48DA"/>
    <w:rsid w:val="00A026B3"/>
    <w:rsid w:val="00A05080"/>
    <w:rsid w:val="00AA15F2"/>
    <w:rsid w:val="00AB639A"/>
    <w:rsid w:val="00B0511F"/>
    <w:rsid w:val="00B306C5"/>
    <w:rsid w:val="00B94786"/>
    <w:rsid w:val="00C65833"/>
    <w:rsid w:val="00CF57F1"/>
    <w:rsid w:val="00D13011"/>
    <w:rsid w:val="00D267C2"/>
    <w:rsid w:val="00D2680E"/>
    <w:rsid w:val="00D73A98"/>
    <w:rsid w:val="00D90CD1"/>
    <w:rsid w:val="00DD745D"/>
    <w:rsid w:val="00DF0AB5"/>
    <w:rsid w:val="00F34ED4"/>
    <w:rsid w:val="00F820DD"/>
    <w:rsid w:val="00FA6C4A"/>
    <w:rsid w:val="014A06F4"/>
    <w:rsid w:val="017B2B04"/>
    <w:rsid w:val="022E306C"/>
    <w:rsid w:val="074558BF"/>
    <w:rsid w:val="0A304F98"/>
    <w:rsid w:val="0F005A15"/>
    <w:rsid w:val="2377542B"/>
    <w:rsid w:val="2A24366F"/>
    <w:rsid w:val="3BC042C4"/>
    <w:rsid w:val="48F65D86"/>
    <w:rsid w:val="498D20F7"/>
    <w:rsid w:val="51D7594B"/>
    <w:rsid w:val="51D93288"/>
    <w:rsid w:val="52D05B1A"/>
    <w:rsid w:val="534114FF"/>
    <w:rsid w:val="56CF6A3B"/>
    <w:rsid w:val="58A01CE3"/>
    <w:rsid w:val="6065073D"/>
    <w:rsid w:val="634E022B"/>
    <w:rsid w:val="68690936"/>
    <w:rsid w:val="6B440A6B"/>
    <w:rsid w:val="6EC53E6C"/>
    <w:rsid w:val="74B32AC1"/>
    <w:rsid w:val="75DB2802"/>
    <w:rsid w:val="7F5B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Plain Text Char"/>
    <w:basedOn w:val="8"/>
    <w:link w:val="2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1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5</Pages>
  <Words>273</Words>
  <Characters>1562</Characters>
  <Lines>0</Lines>
  <Paragraphs>0</Paragraphs>
  <TotalTime>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2016-09-13T03:17:00Z</dcterms:created>
  <dc:creator>lenovo</dc:creator>
  <cp:lastModifiedBy>惠普</cp:lastModifiedBy>
  <cp:lastPrinted>2018-05-24T01:57:00Z</cp:lastPrinted>
  <dcterms:modified xsi:type="dcterms:W3CDTF">2019-12-01T08:25:18Z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