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sz w:val="72"/>
          <w:szCs w:val="72"/>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sz w:val="72"/>
          <w:szCs w:val="72"/>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72"/>
          <w:szCs w:val="72"/>
          <w:highlight w:val="none"/>
          <w14:textFill>
            <w14:solidFill>
              <w14:schemeClr w14:val="tx1"/>
            </w14:solidFill>
          </w14:textFill>
        </w:rPr>
        <w:t>泉州师范学院</w:t>
      </w: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sz w:val="72"/>
          <w:szCs w:val="72"/>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72"/>
          <w:szCs w:val="72"/>
          <w:highlight w:val="none"/>
          <w14:textFill>
            <w14:solidFill>
              <w14:schemeClr w14:val="tx1"/>
            </w14:solidFill>
          </w14:textFill>
        </w:rPr>
        <w:t>自行采购项目</w:t>
      </w: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sz w:val="72"/>
          <w:szCs w:val="72"/>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72"/>
          <w:szCs w:val="72"/>
          <w:highlight w:val="none"/>
          <w14:textFill>
            <w14:solidFill>
              <w14:schemeClr w14:val="tx1"/>
            </w14:solidFill>
          </w14:textFill>
        </w:rPr>
        <w:t>竞争性谈判文件</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jc w:val="center"/>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Style w:val="13"/>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t> 项目编号：FJJX201976</w:t>
      </w:r>
      <w:r>
        <w:rPr>
          <w:rStyle w:val="13"/>
          <w:rFonts w:hint="eastAsia" w:asciiTheme="minorEastAsia" w:hAnsiTheme="minorEastAsia" w:eastAsiaTheme="minorEastAsia" w:cstheme="minorEastAsia"/>
          <w:color w:val="000000" w:themeColor="text1"/>
          <w:sz w:val="30"/>
          <w:szCs w:val="30"/>
          <w:highlight w:val="none"/>
          <w:lang w:val="en-US" w:eastAsia="zh-CN"/>
          <w14:textFill>
            <w14:solidFill>
              <w14:schemeClr w14:val="tx1"/>
            </w14:solidFill>
          </w14:textFill>
        </w:rPr>
        <w:t>3-1</w:t>
      </w:r>
    </w:p>
    <w:p>
      <w:pPr>
        <w:spacing w:line="360" w:lineRule="auto"/>
        <w:jc w:val="center"/>
        <w:rPr>
          <w:rStyle w:val="13"/>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t> 项目名称：</w:t>
      </w:r>
      <w:r>
        <w:rPr>
          <w:rFonts w:hint="eastAsia" w:asciiTheme="minorEastAsia" w:hAnsiTheme="minorEastAsia" w:eastAsiaTheme="minorEastAsia" w:cstheme="minorEastAsia"/>
          <w:b/>
          <w:bCs/>
          <w:color w:val="000000" w:themeColor="text1"/>
          <w:sz w:val="32"/>
          <w:highlight w:val="none"/>
          <w14:textFill>
            <w14:solidFill>
              <w14:schemeClr w14:val="tx1"/>
            </w14:solidFill>
          </w14:textFill>
        </w:rPr>
        <w:t>泉州师范学院201</w:t>
      </w:r>
      <w:r>
        <w:rPr>
          <w:rFonts w:hint="eastAsia" w:asciiTheme="minorEastAsia" w:hAnsiTheme="minorEastAsia" w:eastAsiaTheme="minorEastAsia" w:cstheme="minorEastAsia"/>
          <w:b/>
          <w:bCs/>
          <w:color w:val="000000" w:themeColor="text1"/>
          <w:sz w:val="32"/>
          <w:highlight w:val="none"/>
          <w:lang w:val="en-US" w:eastAsia="zh-CN"/>
          <w14:textFill>
            <w14:solidFill>
              <w14:schemeClr w14:val="tx1"/>
            </w14:solidFill>
          </w14:textFill>
        </w:rPr>
        <w:t>9</w:t>
      </w:r>
      <w:r>
        <w:rPr>
          <w:rFonts w:hint="eastAsia" w:asciiTheme="minorEastAsia" w:hAnsiTheme="minorEastAsia" w:eastAsiaTheme="minorEastAsia" w:cstheme="minorEastAsia"/>
          <w:b/>
          <w:bCs/>
          <w:color w:val="000000" w:themeColor="text1"/>
          <w:sz w:val="32"/>
          <w:highlight w:val="none"/>
          <w14:textFill>
            <w14:solidFill>
              <w14:schemeClr w14:val="tx1"/>
            </w14:solidFill>
          </w14:textFill>
        </w:rPr>
        <w:t>-20</w:t>
      </w:r>
      <w:r>
        <w:rPr>
          <w:rFonts w:hint="eastAsia" w:asciiTheme="minorEastAsia" w:hAnsiTheme="minorEastAsia" w:eastAsiaTheme="minorEastAsia" w:cstheme="minorEastAsia"/>
          <w:b/>
          <w:bCs/>
          <w:color w:val="000000" w:themeColor="text1"/>
          <w:sz w:val="32"/>
          <w:highlight w:val="none"/>
          <w:lang w:val="en-US" w:eastAsia="zh-CN"/>
          <w14:textFill>
            <w14:solidFill>
              <w14:schemeClr w14:val="tx1"/>
            </w14:solidFill>
          </w14:textFill>
        </w:rPr>
        <w:t>22</w:t>
      </w:r>
      <w:r>
        <w:rPr>
          <w:rFonts w:hint="eastAsia" w:asciiTheme="minorEastAsia" w:hAnsiTheme="minorEastAsia" w:eastAsiaTheme="minorEastAsia" w:cstheme="minorEastAsia"/>
          <w:b/>
          <w:bCs/>
          <w:color w:val="000000" w:themeColor="text1"/>
          <w:sz w:val="32"/>
          <w:highlight w:val="none"/>
          <w14:textFill>
            <w14:solidFill>
              <w14:schemeClr w14:val="tx1"/>
            </w14:solidFill>
          </w14:textFill>
        </w:rPr>
        <w:t>年度公务车辆定点维修服务采购项目</w:t>
      </w:r>
    </w:p>
    <w:p>
      <w:pPr>
        <w:pStyle w:val="9"/>
        <w:widowControl/>
        <w:spacing w:before="75" w:beforeAutospacing="0" w:after="75" w:afterAutospacing="0"/>
        <w:ind w:firstLine="105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pP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t> </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t>福建景鑫招标有限公司</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t> </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t>2019年</w:t>
      </w:r>
      <w:r>
        <w:rPr>
          <w:rStyle w:val="13"/>
          <w:rFonts w:hint="eastAsia" w:asciiTheme="minorEastAsia" w:hAnsiTheme="minorEastAsia" w:eastAsiaTheme="minorEastAsia" w:cstheme="minorEastAsia"/>
          <w:color w:val="000000" w:themeColor="text1"/>
          <w:sz w:val="30"/>
          <w:szCs w:val="30"/>
          <w:highlight w:val="none"/>
          <w:lang w:val="en-US" w:eastAsia="zh-CN"/>
          <w14:textFill>
            <w14:solidFill>
              <w14:schemeClr w14:val="tx1"/>
            </w14:solidFill>
          </w14:textFill>
        </w:rPr>
        <w:t>12</w:t>
      </w:r>
      <w:r>
        <w:rPr>
          <w:rStyle w:val="13"/>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t>月</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t> </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t> </w:t>
      </w:r>
    </w:p>
    <w:p>
      <w:pPr>
        <w:pStyle w:val="9"/>
        <w:widowControl/>
        <w:spacing w:before="75" w:beforeAutospacing="0" w:after="75" w:afterAutospacing="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30"/>
          <w:szCs w:val="30"/>
          <w:highlight w:val="none"/>
          <w14:textFill>
            <w14:solidFill>
              <w14:schemeClr w14:val="tx1"/>
            </w14:solidFill>
          </w14:textFill>
        </w:rPr>
        <w:t>  </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43"/>
          <w:szCs w:val="43"/>
          <w:highlight w:val="none"/>
          <w14:textFill>
            <w14:solidFill>
              <w14:schemeClr w14:val="tx1"/>
            </w14:solidFill>
          </w14:textFill>
        </w:rPr>
        <w:t>第一章   采购公告/采购邀请书</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43"/>
          <w:szCs w:val="43"/>
          <w:highlight w:val="none"/>
          <w14:textFill>
            <w14:solidFill>
              <w14:schemeClr w14:val="tx1"/>
            </w14:solidFill>
          </w14:textFill>
        </w:rPr>
        <w:t>竞争性谈判采购公告</w:t>
      </w:r>
    </w:p>
    <w:p>
      <w:pPr>
        <w:pStyle w:val="9"/>
        <w:widowControl/>
        <w:spacing w:before="75" w:beforeAutospacing="0" w:after="75" w:afterAutospacing="0" w:line="435" w:lineRule="atLeast"/>
        <w:ind w:firstLine="7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泉州师范学院已根据政府采购相关法律法规，经相应程序确定采用竞争性谈判方式组织</w:t>
      </w:r>
      <w:r>
        <w:rPr>
          <w:rFonts w:hint="eastAsia" w:asciiTheme="minorEastAsia" w:hAnsiTheme="minorEastAsia" w:eastAsiaTheme="minorEastAsia" w:cstheme="minorEastAsia"/>
          <w:color w:val="000000" w:themeColor="text1"/>
          <w:highlight w:val="none"/>
          <w:u w:val="single"/>
          <w:shd w:val="clear" w:color="auto" w:fill="FFFFFF"/>
          <w14:textFill>
            <w14:solidFill>
              <w14:schemeClr w14:val="tx1"/>
            </w14:solidFill>
          </w14:textFill>
        </w:rPr>
        <w:t>泉州师范学院201</w:t>
      </w:r>
      <w:r>
        <w:rPr>
          <w:rFonts w:hint="eastAsia" w:asciiTheme="minorEastAsia" w:hAnsiTheme="minorEastAsia" w:eastAsiaTheme="minorEastAsia" w:cstheme="minorEastAsia"/>
          <w:color w:val="000000" w:themeColor="text1"/>
          <w:highlight w:val="none"/>
          <w:u w:val="single"/>
          <w:shd w:val="clear" w:color="auto" w:fill="FFFFFF"/>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highlight w:val="none"/>
          <w:u w:val="single"/>
          <w:shd w:val="clear" w:color="auto" w:fill="FFFFFF"/>
          <w14:textFill>
            <w14:solidFill>
              <w14:schemeClr w14:val="tx1"/>
            </w14:solidFill>
          </w14:textFill>
        </w:rPr>
        <w:t>-20</w:t>
      </w:r>
      <w:r>
        <w:rPr>
          <w:rFonts w:hint="eastAsia" w:asciiTheme="minorEastAsia" w:hAnsiTheme="minorEastAsia" w:eastAsiaTheme="minorEastAsia" w:cstheme="minorEastAsia"/>
          <w:color w:val="000000" w:themeColor="text1"/>
          <w:highlight w:val="none"/>
          <w:u w:val="single"/>
          <w:shd w:val="clear" w:color="auto" w:fill="FFFFFF"/>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highlight w:val="none"/>
          <w:u w:val="single"/>
          <w:shd w:val="clear" w:color="auto" w:fill="FFFFFF"/>
          <w14:textFill>
            <w14:solidFill>
              <w14:schemeClr w14:val="tx1"/>
            </w14:solidFill>
          </w14:textFill>
        </w:rPr>
        <w:t>年度公务车辆定点维修</w:t>
      </w:r>
      <w:r>
        <w:rPr>
          <w:rFonts w:hint="eastAsia" w:asciiTheme="minorEastAsia" w:hAnsiTheme="minorEastAsia" w:eastAsiaTheme="minorEastAsia" w:cstheme="minorEastAsia"/>
          <w:color w:val="000000" w:themeColor="text1"/>
          <w:highlight w:val="none"/>
          <w:u w:val="single"/>
          <w:shd w:val="clear" w:color="auto" w:fill="FFFFFF"/>
          <w:lang w:eastAsia="zh-CN"/>
          <w14:textFill>
            <w14:solidFill>
              <w14:schemeClr w14:val="tx1"/>
            </w14:solidFill>
          </w14:textFill>
        </w:rPr>
        <w:t>服务</w:t>
      </w:r>
      <w:r>
        <w:rPr>
          <w:rFonts w:hint="eastAsia" w:asciiTheme="minorEastAsia" w:hAnsiTheme="minorEastAsia" w:eastAsiaTheme="minorEastAsia" w:cstheme="minorEastAsia"/>
          <w:color w:val="000000" w:themeColor="text1"/>
          <w:highlight w:val="none"/>
          <w:u w:val="single"/>
          <w:shd w:val="clear" w:color="auto" w:fill="FFFFFF"/>
          <w14:textFill>
            <w14:solidFill>
              <w14:schemeClr w14:val="tx1"/>
            </w14:solidFill>
          </w14:textFill>
        </w:rPr>
        <w:t>采购项目</w:t>
      </w:r>
      <w:r>
        <w:rPr>
          <w:rFonts w:hint="eastAsia" w:asciiTheme="minorEastAsia" w:hAnsiTheme="minorEastAsia" w:eastAsiaTheme="minorEastAsia" w:cstheme="minorEastAsia"/>
          <w:color w:val="000000" w:themeColor="text1"/>
          <w:highlight w:val="none"/>
          <w14:textFill>
            <w14:solidFill>
              <w14:schemeClr w14:val="tx1"/>
            </w14:solidFill>
          </w14:textFill>
        </w:rPr>
        <w:t>（以下简称：“本项目”）的政府采购活动，现欢迎国内合格的供应商前来参加。本项目由采购人委托福建景鑫招标有限公司开展竞争性谈判活动。</w:t>
      </w:r>
    </w:p>
    <w:p>
      <w:pPr>
        <w:pStyle w:val="9"/>
        <w:widowControl/>
        <w:numPr>
          <w:ilvl w:val="0"/>
          <w:numId w:val="1"/>
        </w:numPr>
        <w:spacing w:before="75" w:beforeAutospacing="0" w:after="75" w:afterAutospacing="0" w:line="435" w:lineRule="atLeast"/>
        <w:rPr>
          <w:rFonts w:hint="eastAsia" w:asciiTheme="minorEastAsia" w:hAnsiTheme="minorEastAsia" w:eastAsiaTheme="minorEastAsia" w:cstheme="minorEastAsia"/>
          <w:color w:val="000000" w:themeColor="text1"/>
          <w:highlight w:val="none"/>
          <w:u w:val="singl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项目名称：泉州师范学院201</w:t>
      </w:r>
      <w:r>
        <w:rPr>
          <w:rFonts w:hint="eastAsia" w:asciiTheme="minorEastAsia" w:hAnsiTheme="minorEastAsia" w:eastAsiaTheme="minorEastAsia" w:cstheme="minorEastAsia"/>
          <w:color w:val="000000" w:themeColor="text1"/>
          <w:highlight w:val="none"/>
          <w:shd w:val="clear" w:color="auto" w:fill="FFFFFF"/>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-20</w:t>
      </w:r>
      <w:r>
        <w:rPr>
          <w:rFonts w:hint="eastAsia" w:asciiTheme="minorEastAsia" w:hAnsiTheme="minorEastAsia" w:eastAsiaTheme="minorEastAsia" w:cstheme="minorEastAsia"/>
          <w:color w:val="000000" w:themeColor="text1"/>
          <w:highlight w:val="none"/>
          <w:shd w:val="clear" w:color="auto" w:fill="FFFFFF"/>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年度公务车辆定点维修</w:t>
      </w:r>
      <w:r>
        <w:rPr>
          <w:rFonts w:hint="eastAsia" w:asciiTheme="minorEastAsia" w:hAnsiTheme="minorEastAsia" w:eastAsiaTheme="minorEastAsia" w:cstheme="minorEastAsia"/>
          <w:color w:val="000000" w:themeColor="text1"/>
          <w:highlight w:val="none"/>
          <w:shd w:val="clear" w:color="auto" w:fill="FFFFFF"/>
          <w:lang w:eastAsia="zh-CN"/>
          <w14:textFill>
            <w14:solidFill>
              <w14:schemeClr w14:val="tx1"/>
            </w14:solidFill>
          </w14:textFill>
        </w:rPr>
        <w:t>服务</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采购项目</w:t>
      </w:r>
    </w:p>
    <w:p>
      <w:pPr>
        <w:pStyle w:val="9"/>
        <w:widowControl/>
        <w:numPr>
          <w:ilvl w:val="0"/>
          <w:numId w:val="1"/>
        </w:numPr>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2.项目编号：FJJX201976</w:t>
      </w:r>
      <w:r>
        <w:rPr>
          <w:rFonts w:hint="eastAsia" w:asciiTheme="minorEastAsia" w:hAnsiTheme="minorEastAsia" w:eastAsiaTheme="minorEastAsia" w:cstheme="minorEastAsia"/>
          <w:color w:val="000000" w:themeColor="text1"/>
          <w:highlight w:val="none"/>
          <w:shd w:val="clear" w:color="auto" w:fill="FFFFFF"/>
          <w:lang w:val="en-US" w:eastAsia="zh-CN"/>
          <w14:textFill>
            <w14:solidFill>
              <w14:schemeClr w14:val="tx1"/>
            </w14:solidFill>
          </w14:textFill>
        </w:rPr>
        <w:t>3-1</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3.采购内容及要求：</w:t>
      </w:r>
    </w:p>
    <w:p>
      <w:pPr>
        <w:pStyle w:val="9"/>
        <w:widowControl/>
        <w:jc w:val="righ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金额单位：人民币元</w:t>
      </w:r>
    </w:p>
    <w:tbl>
      <w:tblPr>
        <w:tblStyle w:val="10"/>
        <w:tblW w:w="84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765"/>
        <w:gridCol w:w="1733"/>
        <w:gridCol w:w="907"/>
        <w:gridCol w:w="1342"/>
        <w:gridCol w:w="748"/>
        <w:gridCol w:w="1425"/>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431" w:type="dxa"/>
            <w:vAlign w:val="center"/>
          </w:tcPr>
          <w:p>
            <w:pPr>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合同包</w:t>
            </w:r>
          </w:p>
        </w:tc>
        <w:tc>
          <w:tcPr>
            <w:tcW w:w="765" w:type="dxa"/>
            <w:vAlign w:val="center"/>
          </w:tcPr>
          <w:p>
            <w:pPr>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品目号</w:t>
            </w:r>
          </w:p>
        </w:tc>
        <w:tc>
          <w:tcPr>
            <w:tcW w:w="1733" w:type="dxa"/>
            <w:vAlign w:val="center"/>
          </w:tcPr>
          <w:p>
            <w:pPr>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采购标的</w:t>
            </w:r>
          </w:p>
        </w:tc>
        <w:tc>
          <w:tcPr>
            <w:tcW w:w="907" w:type="dxa"/>
            <w:vAlign w:val="center"/>
          </w:tcPr>
          <w:p>
            <w:pPr>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数量</w:t>
            </w:r>
          </w:p>
        </w:tc>
        <w:tc>
          <w:tcPr>
            <w:tcW w:w="1342" w:type="dxa"/>
            <w:vAlign w:val="center"/>
          </w:tcPr>
          <w:p>
            <w:pPr>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品目号预算</w:t>
            </w:r>
          </w:p>
        </w:tc>
        <w:tc>
          <w:tcPr>
            <w:tcW w:w="748" w:type="dxa"/>
            <w:vAlign w:val="center"/>
          </w:tcPr>
          <w:p>
            <w:pPr>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允许进口</w:t>
            </w:r>
          </w:p>
        </w:tc>
        <w:tc>
          <w:tcPr>
            <w:tcW w:w="1425" w:type="dxa"/>
            <w:vAlign w:val="center"/>
          </w:tcPr>
          <w:p>
            <w:pPr>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合同包预算</w:t>
            </w:r>
          </w:p>
        </w:tc>
        <w:tc>
          <w:tcPr>
            <w:tcW w:w="1135" w:type="dxa"/>
            <w:vAlign w:val="center"/>
          </w:tcPr>
          <w:p>
            <w:pPr>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431" w:type="dxa"/>
            <w:vAlign w:val="center"/>
          </w:tcPr>
          <w:p>
            <w:pPr>
              <w:pStyle w:val="9"/>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w:t>
            </w:r>
          </w:p>
        </w:tc>
        <w:tc>
          <w:tcPr>
            <w:tcW w:w="765" w:type="dxa"/>
            <w:vAlign w:val="center"/>
          </w:tcPr>
          <w:p>
            <w:pPr>
              <w:pStyle w:val="9"/>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w:t>
            </w:r>
          </w:p>
        </w:tc>
        <w:tc>
          <w:tcPr>
            <w:tcW w:w="1733" w:type="dxa"/>
            <w:vAlign w:val="center"/>
          </w:tcPr>
          <w:p>
            <w:pPr>
              <w:pStyle w:val="9"/>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bidi="ar-SA"/>
                <w14:textFill>
                  <w14:solidFill>
                    <w14:schemeClr w14:val="tx1"/>
                  </w14:solidFill>
                </w14:textFill>
              </w:rPr>
              <w:t>公务车辆定点维修服务</w:t>
            </w:r>
          </w:p>
        </w:tc>
        <w:tc>
          <w:tcPr>
            <w:tcW w:w="907" w:type="dxa"/>
            <w:vAlign w:val="center"/>
          </w:tcPr>
          <w:p>
            <w:pPr>
              <w:pStyle w:val="9"/>
              <w:widowControl/>
              <w:jc w:val="cente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3年</w:t>
            </w:r>
          </w:p>
        </w:tc>
        <w:tc>
          <w:tcPr>
            <w:tcW w:w="1342" w:type="dxa"/>
            <w:vAlign w:val="center"/>
          </w:tcPr>
          <w:p>
            <w:pPr>
              <w:pStyle w:val="9"/>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46</w:t>
            </w:r>
            <w:r>
              <w:rPr>
                <w:rFonts w:hint="eastAsia" w:asciiTheme="minorEastAsia" w:hAnsiTheme="minorEastAsia" w:eastAsiaTheme="minorEastAsia" w:cstheme="minorEastAsia"/>
                <w:color w:val="000000" w:themeColor="text1"/>
                <w:highlight w:val="none"/>
                <w14:textFill>
                  <w14:solidFill>
                    <w14:schemeClr w14:val="tx1"/>
                  </w14:solidFill>
                </w14:textFill>
              </w:rPr>
              <w:t>000.00</w:t>
            </w:r>
          </w:p>
        </w:tc>
        <w:tc>
          <w:tcPr>
            <w:tcW w:w="748" w:type="dxa"/>
            <w:vAlign w:val="center"/>
          </w:tcPr>
          <w:p>
            <w:pPr>
              <w:pStyle w:val="9"/>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否</w:t>
            </w:r>
          </w:p>
        </w:tc>
        <w:tc>
          <w:tcPr>
            <w:tcW w:w="1425" w:type="dxa"/>
            <w:vAlign w:val="center"/>
          </w:tcPr>
          <w:p>
            <w:pPr>
              <w:pStyle w:val="9"/>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46</w:t>
            </w:r>
            <w:r>
              <w:rPr>
                <w:rFonts w:hint="eastAsia" w:asciiTheme="minorEastAsia" w:hAnsiTheme="minorEastAsia" w:eastAsiaTheme="minorEastAsia" w:cstheme="minorEastAsia"/>
                <w:color w:val="000000" w:themeColor="text1"/>
                <w:highlight w:val="none"/>
                <w14:textFill>
                  <w14:solidFill>
                    <w14:schemeClr w14:val="tx1"/>
                  </w14:solidFill>
                </w14:textFill>
              </w:rPr>
              <w:t>000.00</w:t>
            </w:r>
          </w:p>
        </w:tc>
        <w:tc>
          <w:tcPr>
            <w:tcW w:w="1135" w:type="dxa"/>
            <w:vAlign w:val="center"/>
          </w:tcPr>
          <w:p>
            <w:pPr>
              <w:pStyle w:val="9"/>
              <w:widowControl/>
              <w:jc w:val="cente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4800.00</w:t>
            </w:r>
          </w:p>
        </w:tc>
      </w:tr>
    </w:tbl>
    <w:p>
      <w:pPr>
        <w:pStyle w:val="9"/>
        <w:widowControl/>
        <w:numPr>
          <w:ilvl w:val="0"/>
          <w:numId w:val="2"/>
        </w:numPr>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采购项目需要落实的政府采购政策：</w:t>
      </w:r>
      <w:r>
        <w:rPr>
          <w:rFonts w:hint="eastAsia" w:asciiTheme="minorEastAsia" w:hAnsiTheme="minorEastAsia" w:eastAsiaTheme="minorEastAsia" w:cstheme="minorEastAsia"/>
          <w:color w:val="000000" w:themeColor="text1"/>
          <w:highlight w:val="none"/>
          <w14:textFill>
            <w14:solidFill>
              <w14:schemeClr w14:val="tx1"/>
            </w14:solidFill>
          </w14:textFill>
        </w:rPr>
        <w:t>进口产品，不适用于（合同包1）。节能产品，不适用于（合同包1）。环境标志产品，不适用于（合同包1）。信息安全产品，不适用于（合同包1）。小型、微型企业，</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不</w:t>
      </w:r>
      <w:r>
        <w:rPr>
          <w:rFonts w:hint="eastAsia" w:asciiTheme="minorEastAsia" w:hAnsiTheme="minorEastAsia" w:eastAsiaTheme="minorEastAsia" w:cstheme="minorEastAsia"/>
          <w:color w:val="000000" w:themeColor="text1"/>
          <w:highlight w:val="none"/>
          <w14:textFill>
            <w14:solidFill>
              <w14:schemeClr w14:val="tx1"/>
            </w14:solidFill>
          </w14:textFill>
        </w:rPr>
        <w:t>适用于（合同包1）。监狱企业，</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不</w:t>
      </w:r>
      <w:r>
        <w:rPr>
          <w:rFonts w:hint="eastAsia" w:asciiTheme="minorEastAsia" w:hAnsiTheme="minorEastAsia" w:eastAsiaTheme="minorEastAsia" w:cstheme="minorEastAsia"/>
          <w:color w:val="000000" w:themeColor="text1"/>
          <w:highlight w:val="none"/>
          <w14:textFill>
            <w14:solidFill>
              <w14:schemeClr w14:val="tx1"/>
            </w14:solidFill>
          </w14:textFill>
        </w:rPr>
        <w:t>适用于（合同包1）。促进残疾人就业，适用于（合同包1）。信用记录，适用于（合同包1），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9"/>
        <w:widowControl/>
        <w:numPr>
          <w:ilvl w:val="0"/>
          <w:numId w:val="2"/>
        </w:numPr>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供应商的资格要求</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5.1法定条件：符合《中华人民共和国政府采购法》第二十二条第一款规定的条件。</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5.2特定条件：</w:t>
      </w:r>
      <w:r>
        <w:rPr>
          <w:rStyle w:val="13"/>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包1</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751" w:type="dxa"/>
            <w:vAlign w:val="center"/>
          </w:tcPr>
          <w:p>
            <w:pPr>
              <w:widowControl/>
              <w:jc w:val="center"/>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明细</w:t>
            </w:r>
          </w:p>
        </w:tc>
        <w:tc>
          <w:tcPr>
            <w:tcW w:w="4585" w:type="dxa"/>
            <w:vAlign w:val="center"/>
          </w:tcPr>
          <w:p>
            <w:pPr>
              <w:widowControl/>
              <w:jc w:val="center"/>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4" w:hRule="atLeast"/>
          <w:tblCellSpacing w:w="0" w:type="dxa"/>
        </w:trPr>
        <w:tc>
          <w:tcPr>
            <w:tcW w:w="3751" w:type="dxa"/>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具备履行合同所必需设备和专业技术能力专项证明材料（若有）</w:t>
            </w:r>
          </w:p>
        </w:tc>
        <w:tc>
          <w:tcPr>
            <w:tcW w:w="4585" w:type="dxa"/>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62" w:hRule="atLeast"/>
          <w:tblCellSpacing w:w="0" w:type="dxa"/>
        </w:trPr>
        <w:tc>
          <w:tcPr>
            <w:tcW w:w="3751" w:type="dxa"/>
            <w:vAlign w:val="center"/>
          </w:tcPr>
          <w:p>
            <w:pPr>
              <w:widowControl/>
              <w:jc w:val="left"/>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供应商必须具有经运输管理部门许可的汽车整车维修</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三</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类以上（含</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三</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类）资质的汽车维修机构，须提供《机动车维修经营许可证》</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或</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机动车维修经营备案</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证明材料</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w:t>
            </w:r>
          </w:p>
        </w:tc>
        <w:tc>
          <w:tcPr>
            <w:tcW w:w="4585" w:type="dxa"/>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供应商须提供</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具有经运输管理部门许可的汽车整车维修</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三</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类以上（含</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三</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类）资质的汽车维修机构，须提供《机动车维修经营许可证》</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复印件</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或</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机动车维修经营备案</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证明材料复印件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tc>
      </w:tr>
    </w:tbl>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5.3是否接受联合体形式的响应谈判：不接受。</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w:t>
      </w:r>
      <w:r>
        <w:rPr>
          <w:rStyle w:val="13"/>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根据上述资格要求，供应商响应文件中应提交的“资格证明文件”相关规定和资料要求，详见竞争性谈判须知前附表和谈判文件第五章。</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供应商报名期限：2019年</w:t>
      </w:r>
      <w:r>
        <w:rPr>
          <w:rFonts w:hint="eastAsia" w:asciiTheme="minorEastAsia" w:hAnsiTheme="minorEastAsia" w:eastAsiaTheme="minorEastAsia" w:cstheme="minorEastAsia"/>
          <w:color w:val="000000" w:themeColor="text1"/>
          <w:highlight w:val="none"/>
          <w:shd w:val="clear" w:color="auto" w:fill="FFFFFF"/>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月</w:t>
      </w:r>
      <w:r>
        <w:rPr>
          <w:rFonts w:hint="eastAsia" w:asciiTheme="minorEastAsia" w:hAnsiTheme="minorEastAsia" w:eastAsiaTheme="minorEastAsia" w:cstheme="minorEastAsia"/>
          <w:color w:val="000000" w:themeColor="text1"/>
          <w:highlight w:val="none"/>
          <w:shd w:val="clear" w:color="auto" w:fill="FFFFFF"/>
          <w:lang w:val="en-US" w:eastAsia="zh-CN"/>
          <w14:textFill>
            <w14:solidFill>
              <w14:schemeClr w14:val="tx1"/>
            </w14:solidFill>
          </w14:textFill>
        </w:rPr>
        <w:t>03</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日</w:t>
      </w:r>
      <w:r>
        <w:rPr>
          <w:rFonts w:hint="eastAsia" w:asciiTheme="minorEastAsia" w:hAnsiTheme="minorEastAsia" w:eastAsiaTheme="minorEastAsia" w:cstheme="minorEastAsia"/>
          <w:color w:val="000000" w:themeColor="text1"/>
          <w:highlight w:val="none"/>
          <w:shd w:val="clear" w:color="auto" w:fill="FFFFFF"/>
          <w:lang w:val="en-US" w:eastAsia="zh-CN"/>
          <w14:textFill>
            <w14:solidFill>
              <w14:schemeClr w14:val="tx1"/>
            </w14:solidFill>
          </w14:textFill>
        </w:rPr>
        <w:t>14:00</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时至2019 年</w:t>
      </w:r>
      <w:r>
        <w:rPr>
          <w:rFonts w:hint="eastAsia" w:asciiTheme="minorEastAsia" w:hAnsiTheme="minorEastAsia" w:eastAsiaTheme="minorEastAsia" w:cstheme="minorEastAsia"/>
          <w:color w:val="000000" w:themeColor="text1"/>
          <w:highlight w:val="none"/>
          <w:shd w:val="clear" w:color="auto" w:fill="FFFFFF"/>
          <w:lang w:val="en-US" w:eastAsia="zh-CN"/>
          <w14:textFill>
            <w14:solidFill>
              <w14:schemeClr w14:val="tx1"/>
            </w14:solidFill>
          </w14:textFill>
        </w:rPr>
        <w:t xml:space="preserve"> 12</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月</w:t>
      </w:r>
      <w:r>
        <w:rPr>
          <w:rFonts w:hint="eastAsia" w:asciiTheme="minorEastAsia" w:hAnsiTheme="minorEastAsia" w:eastAsiaTheme="minorEastAsia" w:cstheme="minorEastAsia"/>
          <w:color w:val="000000" w:themeColor="text1"/>
          <w:highlight w:val="none"/>
          <w:shd w:val="clear" w:color="auto" w:fill="FFFFFF"/>
          <w:lang w:val="en-US" w:eastAsia="zh-CN"/>
          <w14:textFill>
            <w14:solidFill>
              <w14:schemeClr w14:val="tx1"/>
            </w14:solidFill>
          </w14:textFill>
        </w:rPr>
        <w:t>09</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日</w:t>
      </w:r>
      <w:r>
        <w:rPr>
          <w:rFonts w:hint="eastAsia" w:asciiTheme="minorEastAsia" w:hAnsiTheme="minorEastAsia" w:eastAsiaTheme="minorEastAsia" w:cstheme="minorEastAsia"/>
          <w:color w:val="000000" w:themeColor="text1"/>
          <w:highlight w:val="none"/>
          <w:shd w:val="clear" w:color="auto" w:fill="FFFFFF"/>
          <w:lang w:val="en-US" w:eastAsia="zh-CN"/>
          <w14:textFill>
            <w14:solidFill>
              <w14:schemeClr w14:val="tx1"/>
            </w14:solidFill>
          </w14:textFill>
        </w:rPr>
        <w:t xml:space="preserve">17:00 </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时。</w:t>
      </w:r>
    </w:p>
    <w:p>
      <w:pPr>
        <w:pStyle w:val="9"/>
        <w:widowControl/>
        <w:spacing w:before="75" w:beforeAutospacing="0" w:after="75" w:afterAutospacing="0" w:line="435" w:lineRule="atLeast"/>
        <w:ind w:left="31680" w:hanging="240" w:hangingChars="1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6.1如果采购过程中有发出更正公告，采购人将根据实际情况确定是否延长报名期限，则报名截止时间以更正公告中的约定为准。</w:t>
      </w:r>
    </w:p>
    <w:p>
      <w:pPr>
        <w:widowControl/>
        <w:spacing w:before="60" w:after="60" w:line="348" w:lineRule="atLeast"/>
        <w:ind w:left="31680" w:hanging="240" w:hangingChars="10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shd w:val="clear" w:color="auto" w:fill="FFFFFF"/>
          <w14:textFill>
            <w14:solidFill>
              <w14:schemeClr w14:val="tx1"/>
            </w14:solidFill>
          </w14:textFill>
        </w:rPr>
        <w:t>6.2</w:t>
      </w:r>
      <w:r>
        <w:rPr>
          <w:rFonts w:hint="eastAsia" w:asciiTheme="minorEastAsia" w:hAnsiTheme="minorEastAsia" w:eastAsiaTheme="minorEastAsia" w:cstheme="minorEastAsia"/>
          <w:color w:val="000000" w:themeColor="text1"/>
          <w:kern w:val="0"/>
          <w:sz w:val="24"/>
          <w:highlight w:val="none"/>
          <w:shd w:val="clear" w:color="auto" w:fill="FFFFFF"/>
          <w14:textFill>
            <w14:solidFill>
              <w14:schemeClr w14:val="tx1"/>
            </w14:solidFill>
          </w14:textFill>
        </w:rPr>
        <w:t>报名期限内，供应商应凡有意参加的供应商可按下述地址到福建景鑫招标有限公司购买竞争性谈判文件。未报名将导致其不能下载采购文件且响应文件被拒收。</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7.获取采购文件时间、地点、方式：</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7.1采购文件的提供期限：2019年</w:t>
      </w:r>
      <w:r>
        <w:rPr>
          <w:rFonts w:hint="eastAsia" w:asciiTheme="minorEastAsia" w:hAnsiTheme="minorEastAsia" w:eastAsiaTheme="minorEastAsia" w:cstheme="minorEastAsia"/>
          <w:color w:val="000000" w:themeColor="text1"/>
          <w:highlight w:val="none"/>
          <w:shd w:val="clear" w:color="auto" w:fill="FFFFFF"/>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月</w:t>
      </w:r>
      <w:r>
        <w:rPr>
          <w:rFonts w:hint="eastAsia" w:asciiTheme="minorEastAsia" w:hAnsiTheme="minorEastAsia" w:eastAsiaTheme="minorEastAsia" w:cstheme="minorEastAsia"/>
          <w:color w:val="000000" w:themeColor="text1"/>
          <w:highlight w:val="none"/>
          <w:shd w:val="clear" w:color="auto" w:fill="FFFFFF"/>
          <w:lang w:val="en-US" w:eastAsia="zh-CN"/>
          <w14:textFill>
            <w14:solidFill>
              <w14:schemeClr w14:val="tx1"/>
            </w14:solidFill>
          </w14:textFill>
        </w:rPr>
        <w:t>03</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日</w:t>
      </w:r>
      <w:r>
        <w:rPr>
          <w:rFonts w:hint="eastAsia" w:asciiTheme="minorEastAsia" w:hAnsiTheme="minorEastAsia" w:eastAsiaTheme="minorEastAsia" w:cstheme="minorEastAsia"/>
          <w:color w:val="000000" w:themeColor="text1"/>
          <w:highlight w:val="none"/>
          <w:shd w:val="clear" w:color="auto" w:fill="FFFFFF"/>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至2019年</w:t>
      </w:r>
      <w:r>
        <w:rPr>
          <w:rFonts w:hint="eastAsia" w:asciiTheme="minorEastAsia" w:hAnsiTheme="minorEastAsia" w:eastAsiaTheme="minorEastAsia" w:cstheme="minorEastAsia"/>
          <w:color w:val="000000" w:themeColor="text1"/>
          <w:highlight w:val="none"/>
          <w:shd w:val="clear" w:color="auto" w:fill="FFFFFF"/>
          <w:lang w:val="en-US" w:eastAsia="zh-CN"/>
          <w14:textFill>
            <w14:solidFill>
              <w14:schemeClr w14:val="tx1"/>
            </w14:solidFill>
          </w14:textFill>
        </w:rPr>
        <w:t xml:space="preserve"> 12</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月</w:t>
      </w:r>
      <w:r>
        <w:rPr>
          <w:rFonts w:hint="eastAsia" w:asciiTheme="minorEastAsia" w:hAnsiTheme="minorEastAsia" w:eastAsiaTheme="minorEastAsia" w:cstheme="minorEastAsia"/>
          <w:color w:val="000000" w:themeColor="text1"/>
          <w:highlight w:val="none"/>
          <w:shd w:val="clear" w:color="auto" w:fill="FFFFFF"/>
          <w:lang w:val="en-US" w:eastAsia="zh-CN"/>
          <w14:textFill>
            <w14:solidFill>
              <w14:schemeClr w14:val="tx1"/>
            </w14:solidFill>
          </w14:textFill>
        </w:rPr>
        <w:t xml:space="preserve"> 09</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日。</w:t>
      </w:r>
    </w:p>
    <w:p>
      <w:pPr>
        <w:pStyle w:val="9"/>
        <w:widowControl/>
        <w:spacing w:before="75" w:beforeAutospacing="0" w:after="75" w:afterAutospacing="0" w:line="435" w:lineRule="atLeast"/>
        <w:ind w:left="31680" w:hanging="240" w:hangingChars="1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7.2获取地点及方式：供应商应凡有意参加的供应商可按下述地址到福建景鑫招标有限公司（</w:t>
      </w:r>
      <w:r>
        <w:rPr>
          <w:rFonts w:hint="eastAsia" w:asciiTheme="minorEastAsia" w:hAnsiTheme="minorEastAsia" w:eastAsiaTheme="minorEastAsia" w:cstheme="minorEastAsia"/>
          <w:color w:val="000000" w:themeColor="text1"/>
          <w:highlight w:val="none"/>
          <w14:textFill>
            <w14:solidFill>
              <w14:schemeClr w14:val="tx1"/>
            </w14:solidFill>
          </w14:textFill>
        </w:rPr>
        <w:t>泉州市丰泽区东海大街东海湾中心1号801室）</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购买竞争性谈判文件。</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8.采购文件售价：每个合同</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200元。</w:t>
      </w: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left="31680" w:hanging="240" w:hangingChars="1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9.</w:t>
      </w:r>
      <w:r>
        <w:rPr>
          <w:rFonts w:hint="eastAsia" w:asciiTheme="minorEastAsia" w:hAnsiTheme="minorEastAsia" w:eastAsiaTheme="minorEastAsia" w:cstheme="minorEastAsia"/>
          <w:color w:val="000000" w:themeColor="text1"/>
          <w:highlight w:val="none"/>
          <w14:textFill>
            <w14:solidFill>
              <w14:schemeClr w14:val="tx1"/>
            </w14:solidFill>
          </w14:textFill>
        </w:rPr>
        <w:t>首次响应文件递交截止时间及地点： 2019年</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highlight w:val="none"/>
          <w14:textFill>
            <w14:solidFill>
              <w14:schemeClr w14:val="tx1"/>
            </w14:solidFill>
          </w14:textFill>
        </w:rPr>
        <w:t>月</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highlight w:val="none"/>
          <w14:textFill>
            <w14:solidFill>
              <w14:schemeClr w14:val="tx1"/>
            </w14:solidFill>
          </w14:textFill>
        </w:rPr>
        <w:t>日</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上午</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9:00</w:t>
      </w:r>
      <w:r>
        <w:rPr>
          <w:rFonts w:hint="eastAsia" w:asciiTheme="minorEastAsia" w:hAnsiTheme="minorEastAsia" w:eastAsiaTheme="minorEastAsia" w:cstheme="minorEastAsia"/>
          <w:color w:val="000000" w:themeColor="text1"/>
          <w:highlight w:val="none"/>
          <w14:textFill>
            <w14:solidFill>
              <w14:schemeClr w14:val="tx1"/>
            </w14:solidFill>
          </w14:textFill>
        </w:rPr>
        <w:t>时（北京时间），泉州市丰泽区东海大街东海湾中心1号801室。供应商应在此之前将密封的首次响应文件送达本章第10条载明的地点，逾期送达的或不符合规定的响应文件将被拒绝接收。</w:t>
      </w:r>
    </w:p>
    <w:p>
      <w:pPr>
        <w:pStyle w:val="9"/>
        <w:widowControl/>
        <w:spacing w:before="75" w:beforeAutospacing="0" w:after="75" w:afterAutospacing="0"/>
        <w:ind w:left="31680" w:hanging="240" w:hangingChars="1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10.谈判时间及地点：</w:t>
      </w:r>
      <w:r>
        <w:rPr>
          <w:rFonts w:hint="eastAsia" w:asciiTheme="minorEastAsia" w:hAnsiTheme="minorEastAsia" w:eastAsiaTheme="minorEastAsia" w:cstheme="minorEastAsia"/>
          <w:color w:val="000000" w:themeColor="text1"/>
          <w:highlight w:val="none"/>
          <w14:textFill>
            <w14:solidFill>
              <w14:schemeClr w14:val="tx1"/>
            </w14:solidFill>
          </w14:textFill>
        </w:rPr>
        <w:t>2019年</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highlight w:val="none"/>
          <w14:textFill>
            <w14:solidFill>
              <w14:schemeClr w14:val="tx1"/>
            </w14:solidFill>
          </w14:textFill>
        </w:rPr>
        <w:t>月</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highlight w:val="none"/>
          <w14:textFill>
            <w14:solidFill>
              <w14:schemeClr w14:val="tx1"/>
            </w14:solidFill>
          </w14:textFill>
        </w:rPr>
        <w:t>日</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上午</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9:00</w:t>
      </w:r>
      <w:r>
        <w:rPr>
          <w:rFonts w:hint="eastAsia" w:asciiTheme="minorEastAsia" w:hAnsiTheme="minorEastAsia" w:eastAsiaTheme="minorEastAsia" w:cstheme="minorEastAsia"/>
          <w:color w:val="000000" w:themeColor="text1"/>
          <w:highlight w:val="none"/>
          <w14:textFill>
            <w14:solidFill>
              <w14:schemeClr w14:val="tx1"/>
            </w14:solidFill>
          </w14:textFill>
        </w:rPr>
        <w:t>时（北京时间），泉州市丰泽区东海大街东海湾中心1号801室。</w:t>
      </w:r>
    </w:p>
    <w:p>
      <w:pPr>
        <w:pStyle w:val="9"/>
        <w:widowControl/>
        <w:spacing w:before="75" w:beforeAutospacing="0" w:after="75" w:afterAutospacing="0"/>
        <w:ind w:left="31680" w:hanging="240" w:hangingChars="100"/>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11.竞争性谈判公告期限：自财政部指定的政府采购信息发布媒体最先发布公告之日起3个工作日</w:t>
      </w: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w:t>
      </w:r>
    </w:p>
    <w:p>
      <w:pPr>
        <w:pStyle w:val="9"/>
        <w:widowControl/>
        <w:spacing w:before="75" w:beforeAutospacing="0" w:after="75" w:afterAutospacing="0"/>
        <w:ind w:left="31680" w:hanging="240" w:hangingChars="100"/>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12.采购人：泉州师范学院</w:t>
      </w:r>
    </w:p>
    <w:p>
      <w:pPr>
        <w:pStyle w:val="9"/>
        <w:widowControl/>
        <w:spacing w:before="75" w:beforeAutospacing="0" w:after="75" w:afterAutospacing="0"/>
        <w:ind w:left="31680" w:hanging="240" w:hangingChars="100"/>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 地  址：泉州市丰泽区东海大街398号</w:t>
      </w:r>
    </w:p>
    <w:p>
      <w:pPr>
        <w:pStyle w:val="9"/>
        <w:widowControl/>
        <w:spacing w:before="75" w:beforeAutospacing="0" w:after="75" w:afterAutospacing="0"/>
        <w:ind w:left="31680" w:hanging="240" w:hangingChars="100"/>
        <w:rPr>
          <w:rFonts w:hint="eastAsia" w:asciiTheme="minorEastAsia" w:hAnsiTheme="minorEastAsia" w:eastAsiaTheme="minorEastAsia" w:cstheme="minorEastAsia"/>
          <w:color w:val="000000" w:themeColor="text1"/>
          <w:highlight w:val="none"/>
          <w:shd w:val="clear" w:color="auto" w:fill="FFFFFF"/>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 联系人：陈</w:t>
      </w:r>
      <w:r>
        <w:rPr>
          <w:rFonts w:hint="eastAsia" w:asciiTheme="minorEastAsia" w:hAnsiTheme="minorEastAsia" w:eastAsiaTheme="minorEastAsia" w:cstheme="minorEastAsia"/>
          <w:color w:val="000000" w:themeColor="text1"/>
          <w:highlight w:val="none"/>
          <w:shd w:val="clear" w:color="auto" w:fill="FFFFFF"/>
          <w:lang w:eastAsia="zh-CN"/>
          <w14:textFill>
            <w14:solidFill>
              <w14:schemeClr w14:val="tx1"/>
            </w14:solidFill>
          </w14:textFill>
        </w:rPr>
        <w:t>显银</w:t>
      </w:r>
    </w:p>
    <w:p>
      <w:pPr>
        <w:pStyle w:val="9"/>
        <w:widowControl/>
        <w:spacing w:before="75" w:beforeAutospacing="0" w:after="75" w:afterAutospacing="0"/>
        <w:ind w:left="31680" w:hanging="240" w:hangingChars="100"/>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 联系方法：0595-22919532</w:t>
      </w:r>
    </w:p>
    <w:p>
      <w:pPr>
        <w:pStyle w:val="9"/>
        <w:widowControl/>
        <w:spacing w:before="75" w:beforeAutospacing="0" w:after="75" w:afterAutospacing="0"/>
        <w:ind w:left="31680" w:hanging="240" w:hangingChars="100"/>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 代理机构：福建景鑫招标有限公司</w:t>
      </w:r>
    </w:p>
    <w:p>
      <w:pPr>
        <w:pStyle w:val="9"/>
        <w:widowControl/>
        <w:spacing w:before="75" w:beforeAutospacing="0" w:after="75" w:afterAutospacing="0"/>
        <w:ind w:left="31680" w:hanging="240" w:hangingChars="100"/>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 地  址：泉州市丰泽区东海大街东海湾中心1号801室</w:t>
      </w:r>
    </w:p>
    <w:p>
      <w:pPr>
        <w:pStyle w:val="9"/>
        <w:widowControl/>
        <w:spacing w:before="75" w:beforeAutospacing="0" w:after="75" w:afterAutospacing="0"/>
        <w:ind w:left="31680" w:hanging="240" w:hangingChars="100"/>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 联系人：赵海全</w:t>
      </w:r>
    </w:p>
    <w:p>
      <w:pPr>
        <w:pStyle w:val="9"/>
        <w:widowControl/>
        <w:spacing w:before="75" w:beforeAutospacing="0" w:after="75" w:afterAutospacing="0"/>
        <w:ind w:left="31680" w:hanging="240" w:hangingChars="100"/>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 联系方法：0595-22192139</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p>
    <w:p>
      <w:pPr>
        <w:pStyle w:val="9"/>
        <w:widowControl/>
        <w:spacing w:before="75" w:beforeAutospacing="0" w:after="75" w:afterAutospacing="0"/>
        <w:ind w:left="31680" w:hanging="240" w:hangingChars="100"/>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highlight w:val="none"/>
          <w:shd w:val="clear" w:color="auto" w:fill="FFFFFF"/>
          <w14:textFill>
            <w14:solidFill>
              <w14:schemeClr w14:val="tx1"/>
            </w14:solidFill>
          </w14:textFill>
        </w:rPr>
        <w:t>附1：提交谈判保证金的银行账户信息</w:t>
      </w:r>
    </w:p>
    <w:tbl>
      <w:tblPr>
        <w:tblStyle w:val="10"/>
        <w:tblpPr w:leftFromText="180" w:rightFromText="180" w:vertAnchor="text" w:horzAnchor="page" w:tblpX="1771" w:tblpY="686"/>
        <w:tblOverlap w:val="never"/>
        <w:tblW w:w="858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8" w:hRule="atLeast"/>
          <w:tblCellSpacing w:w="15" w:type="dxa"/>
        </w:trPr>
        <w:tc>
          <w:tcPr>
            <w:tcW w:w="8520" w:type="dxa"/>
            <w:tcMar>
              <w:top w:w="0" w:type="dxa"/>
              <w:left w:w="105" w:type="dxa"/>
              <w:bottom w:w="0" w:type="dxa"/>
              <w:right w:w="105" w:type="dxa"/>
            </w:tcMar>
            <w:vAlign w:val="center"/>
          </w:tcPr>
          <w:p>
            <w:pPr>
              <w:pStyle w:val="9"/>
              <w:spacing w:beforeAutospacing="0" w:afterAutospacing="0"/>
              <w:jc w:val="center"/>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b w:val="0"/>
                <w:color w:val="000000" w:themeColor="text1"/>
                <w:highlight w:val="none"/>
                <w14:textFill>
                  <w14:solidFill>
                    <w14:schemeClr w14:val="tx1"/>
                  </w14:solidFill>
                </w14:textFill>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4" w:hRule="atLeast"/>
          <w:tblCellSpacing w:w="15" w:type="dxa"/>
        </w:trPr>
        <w:tc>
          <w:tcPr>
            <w:tcW w:w="8520" w:type="dxa"/>
            <w:tcMar>
              <w:top w:w="0" w:type="dxa"/>
              <w:left w:w="105" w:type="dxa"/>
              <w:bottom w:w="0" w:type="dxa"/>
              <w:right w:w="105" w:type="dxa"/>
            </w:tcMar>
          </w:tcPr>
          <w:p>
            <w:pPr>
              <w:spacing w:line="400" w:lineRule="exact"/>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投标保证金:</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供应商向招标代理机构提交合同包一人民币</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4800</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元</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投标保证金，投标保证金应于首次响应文件递交截止时间前以转账或电汇方式从供应商公司账户（而非其他个人账户）提交至招标代理机构指定账户（在投标文件中应附有效证明）内。投标保证金转账单或电汇单上必须注明所投标的招标编号。注意：不接受现金、现金缴款或汇票方式提交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4" w:hRule="atLeast"/>
          <w:tblCellSpacing w:w="15" w:type="dxa"/>
        </w:trPr>
        <w:tc>
          <w:tcPr>
            <w:tcW w:w="8520" w:type="dxa"/>
            <w:tcMar>
              <w:top w:w="0" w:type="dxa"/>
              <w:left w:w="105" w:type="dxa"/>
              <w:bottom w:w="0" w:type="dxa"/>
              <w:right w:w="105" w:type="dxa"/>
            </w:tcMar>
          </w:tcPr>
          <w:p>
            <w:pPr>
              <w:widowControl/>
              <w:spacing w:line="400" w:lineRule="exact"/>
              <w:jc w:val="left"/>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投标保证金递交专用账户：</w:t>
            </w:r>
          </w:p>
          <w:p>
            <w:pPr>
              <w:spacing w:line="400" w:lineRule="exact"/>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开户名：福建景鑫招标有限公司泉州分公司</w:t>
            </w:r>
          </w:p>
          <w:p>
            <w:pPr>
              <w:spacing w:line="400" w:lineRule="exact"/>
              <w:ind w:firstLine="482"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开户行：兴业银行股份有限公司泉州泉秀支行</w:t>
            </w:r>
          </w:p>
          <w:p>
            <w:pPr>
              <w:spacing w:line="400" w:lineRule="exact"/>
              <w:ind w:firstLine="482" w:firstLineChars="20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账号：1525 5010 0100 1517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4" w:hRule="atLeast"/>
          <w:tblCellSpacing w:w="15" w:type="dxa"/>
        </w:trPr>
        <w:tc>
          <w:tcPr>
            <w:tcW w:w="8520" w:type="dxa"/>
            <w:tcMar>
              <w:top w:w="0" w:type="dxa"/>
              <w:left w:w="105" w:type="dxa"/>
              <w:bottom w:w="0" w:type="dxa"/>
              <w:right w:w="105" w:type="dxa"/>
            </w:tcMar>
            <w:vAlign w:val="center"/>
          </w:tcPr>
          <w:p>
            <w:pPr>
              <w:pStyle w:val="9"/>
              <w:spacing w:beforeAutospacing="0" w:afterAutospacing="0"/>
              <w:jc w:val="center"/>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b w:val="0"/>
                <w:color w:val="000000" w:themeColor="text1"/>
                <w:highlight w:val="none"/>
                <w14:textFill>
                  <w14:solidFill>
                    <w14:schemeClr w14:val="tx1"/>
                  </w14:solidFill>
                </w14:textFill>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7" w:hRule="atLeast"/>
          <w:tblCellSpacing w:w="15" w:type="dxa"/>
        </w:trPr>
        <w:tc>
          <w:tcPr>
            <w:tcW w:w="8520" w:type="dxa"/>
            <w:tcMar>
              <w:top w:w="0" w:type="dxa"/>
              <w:left w:w="105" w:type="dxa"/>
              <w:bottom w:w="0" w:type="dxa"/>
              <w:right w:w="105" w:type="dxa"/>
            </w:tcMar>
          </w:tcPr>
          <w:p>
            <w:pPr>
              <w:pStyle w:val="9"/>
              <w:spacing w:beforeAutospacing="0" w:afterAutospacing="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1、投标人应认真核对账户信息，将投标保证金汇入以上账户，并自行承担因汇错投标保证金而产生的一切后果。</w:t>
            </w:r>
          </w:p>
          <w:p>
            <w:pPr>
              <w:pStyle w:val="9"/>
              <w:spacing w:beforeAutospacing="0" w:afterAutospacing="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2、投标人在转账或电汇的凭证上应按照以下格式注明，以便核对：“（招标编号：***、合同包：***）的投标保证金”。</w:t>
            </w:r>
          </w:p>
          <w:p>
            <w:pPr>
              <w:pStyle w:val="9"/>
              <w:spacing w:beforeAutospacing="0" w:afterAutospacing="0"/>
              <w:rPr>
                <w:rFonts w:hint="eastAsia" w:asciiTheme="minorEastAsia" w:hAnsiTheme="minorEastAsia" w:eastAsiaTheme="minorEastAsia" w:cstheme="minorEastAsia"/>
                <w:bCs/>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3、</w:t>
            </w:r>
            <w:r>
              <w:rPr>
                <w:rFonts w:hint="eastAsia" w:asciiTheme="minorEastAsia" w:hAnsiTheme="minorEastAsia" w:eastAsiaTheme="minorEastAsia" w:cstheme="minorEastAsia"/>
                <w:b/>
                <w:color w:val="000000" w:themeColor="text1"/>
                <w:highlight w:val="none"/>
                <w14:textFill>
                  <w14:solidFill>
                    <w14:schemeClr w14:val="tx1"/>
                  </w14:solidFill>
                </w14:textFill>
              </w:rPr>
              <w:t>投标人的投标保证金应汇入投标保证金专用帐户，若未按规定汇入保证金专用帐户，将视为该投标保证金未到账。投标人购买竞争性谈判文件、缴纳招标服务费等款项不可汇入此投标保证金专用账户。</w:t>
            </w:r>
          </w:p>
        </w:tc>
      </w:tr>
    </w:tbl>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43"/>
          <w:szCs w:val="43"/>
          <w:highlight w:val="none"/>
          <w14:textFill>
            <w14:solidFill>
              <w14:schemeClr w14:val="tx1"/>
            </w14:solidFill>
          </w14:textFill>
        </w:rPr>
        <w:t>第二章  竞争性谈判须知</w:t>
      </w:r>
    </w:p>
    <w:p>
      <w:pPr>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31"/>
          <w:szCs w:val="31"/>
          <w:highlight w:val="none"/>
          <w14:textFill>
            <w14:solidFill>
              <w14:schemeClr w14:val="tx1"/>
            </w14:solidFill>
          </w14:textFill>
        </w:rPr>
        <w:t>第1节  竞争性谈判须知前附表</w:t>
      </w:r>
    </w:p>
    <w:p>
      <w:pPr>
        <w:pStyle w:val="9"/>
        <w:widowControl/>
        <w:spacing w:before="75" w:beforeAutospacing="0" w:after="240"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竞争性谈判须知前附表是对竞争性谈判须知的补充和细化，二者如有矛盾，以前附表中的要求和规定为准</w:t>
      </w:r>
    </w:p>
    <w:tbl>
      <w:tblPr>
        <w:tblStyle w:val="10"/>
        <w:tblW w:w="8903"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70"/>
        <w:gridCol w:w="1094"/>
        <w:gridCol w:w="72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项号</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条款号</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3.2.1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供应商的资格要求</w:t>
            </w:r>
            <w:r>
              <w:rPr>
                <w:rFonts w:hint="eastAsia" w:asciiTheme="minorEastAsia" w:hAnsiTheme="minorEastAsia" w:eastAsiaTheme="minorEastAsia" w:cstheme="minorEastAsia"/>
                <w:color w:val="000000" w:themeColor="text1"/>
                <w:highlight w:val="none"/>
                <w14:textFill>
                  <w14:solidFill>
                    <w14:schemeClr w14:val="tx1"/>
                  </w14:solidFill>
                </w14:textFill>
              </w:rPr>
              <w:t>：见谈判文件第一章“采购公告/采购邀请书”</w:t>
            </w:r>
          </w:p>
          <w:p>
            <w:pPr>
              <w:pStyle w:val="9"/>
              <w:widowControl/>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资格证明文件资料要求：</w:t>
            </w:r>
          </w:p>
          <w:tbl>
            <w:tblPr>
              <w:tblStyle w:val="10"/>
              <w:tblW w:w="6793"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69"/>
              <w:gridCol w:w="3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明细</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a1投标函</w:t>
                  </w:r>
                </w:p>
              </w:tc>
              <w:tc>
                <w:tcPr>
                  <w:tcW w:w="3724" w:type="dxa"/>
                  <w:tcBorders>
                    <w:top w:val="outset" w:color="auto" w:sz="6" w:space="0"/>
                    <w:left w:val="outset" w:color="auto" w:sz="6" w:space="0"/>
                    <w:bottom w:val="outset" w:color="auto" w:sz="6" w:space="0"/>
                    <w:right w:val="outset" w:color="auto" w:sz="6" w:space="0"/>
                  </w:tcBorders>
                  <w:vAlign w:val="center"/>
                </w:tcPr>
                <w:p>
                  <w:pP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a2单位负责人授权书</w:t>
                  </w:r>
                </w:p>
              </w:tc>
              <w:tc>
                <w:tcPr>
                  <w:tcW w:w="3724" w:type="dxa"/>
                  <w:tcBorders>
                    <w:top w:val="outset" w:color="auto" w:sz="6" w:space="0"/>
                    <w:left w:val="outset" w:color="auto" w:sz="6" w:space="0"/>
                    <w:bottom w:val="outset" w:color="auto" w:sz="6" w:space="0"/>
                    <w:right w:val="outset" w:color="auto" w:sz="6" w:space="0"/>
                  </w:tcBorders>
                  <w:vAlign w:val="center"/>
                </w:tcPr>
                <w:p>
                  <w:pP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a3法人或者其他组织的营业执照等证明文件，自然人的身份证明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a4财务状况报告</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提供会计师事务所出具的上一年度或上一季度财务审计报告，至少包括“资产负债表、利润表、现金流量表”；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a5依法缴纳税收的相关材料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a6依法缴纳社会保障资金的相关材料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a7具备履行合同所必需的设备和专业技术能力的材料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a8参加政府采购活动前3年内在经营活动中没有重大违法记录的书面声明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a9信用信息查询结果</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供应商应在（填写招标文件要求的截止时点）前分别通过“信用中国”网站（www.creditchina.gov.cn）、中国政府采购网（www.ccgp.gov.cn）查询并打印相应的信用记录（以下简称：“供应商提供的查询结果”），供应商提供的查询结果应为其通过上述网站获取的信用信息查询结果原始页面的打印件（或截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4" w:hRule="atLeast"/>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a10投标保证金</w:t>
                  </w:r>
                </w:p>
              </w:tc>
              <w:tc>
                <w:tcPr>
                  <w:tcW w:w="3724" w:type="dxa"/>
                  <w:tcBorders>
                    <w:top w:val="outset" w:color="auto" w:sz="6" w:space="0"/>
                    <w:left w:val="outset" w:color="auto" w:sz="6" w:space="0"/>
                    <w:bottom w:val="outset" w:color="auto" w:sz="6" w:space="0"/>
                    <w:right w:val="outset" w:color="auto" w:sz="6" w:space="0"/>
                  </w:tcBorders>
                  <w:vAlign w:val="center"/>
                </w:tcPr>
                <w:p>
                  <w:pP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提供复印件</w:t>
                  </w:r>
                </w:p>
              </w:tc>
            </w:tr>
          </w:tbl>
          <w:p>
            <w:pPr>
              <w:pStyle w:val="9"/>
              <w:widowControl/>
              <w:spacing w:beforeAutospacing="0" w:afterAutospacing="0" w:line="375"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9"/>
              <w:widowControl/>
              <w:spacing w:beforeAutospacing="0" w:afterAutospacing="0" w:line="375"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特定资格条件：</w:t>
            </w:r>
          </w:p>
          <w:p>
            <w:pPr>
              <w:pStyle w:val="9"/>
              <w:widowControl/>
              <w:spacing w:beforeAutospacing="0" w:afterAutospacing="0" w:line="435" w:lineRule="atLeast"/>
              <w:rPr>
                <w:rStyle w:val="13"/>
                <w:rFonts w:hint="eastAsia" w:asciiTheme="minorEastAsia" w:hAnsiTheme="minorEastAsia" w:eastAsiaTheme="minorEastAsia" w:cstheme="minorEastAsia"/>
                <w:color w:val="000000" w:themeColor="text1"/>
                <w:sz w:val="21"/>
                <w:szCs w:val="22"/>
                <w:highlight w:val="none"/>
                <w:shd w:val="clear" w:color="auto" w:fill="FFFFFF"/>
                <w14:textFill>
                  <w14:solidFill>
                    <w14:schemeClr w14:val="tx1"/>
                  </w14:solidFill>
                </w14:textFill>
              </w:rPr>
            </w:pPr>
            <w:r>
              <w:rPr>
                <w:rStyle w:val="13"/>
                <w:rFonts w:hint="eastAsia" w:asciiTheme="minorEastAsia" w:hAnsiTheme="minorEastAsia" w:eastAsiaTheme="minorEastAsia" w:cstheme="minorEastAsia"/>
                <w:color w:val="000000" w:themeColor="text1"/>
                <w:sz w:val="21"/>
                <w:szCs w:val="22"/>
                <w:highlight w:val="none"/>
                <w:shd w:val="clear" w:color="auto" w:fill="FFFFFF"/>
                <w14:textFill>
                  <w14:solidFill>
                    <w14:schemeClr w14:val="tx1"/>
                  </w14:solidFill>
                </w14:textFill>
              </w:rPr>
              <w:t xml:space="preserve">包1 </w:t>
            </w:r>
          </w:p>
          <w:tbl>
            <w:tblPr>
              <w:tblStyle w:val="10"/>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63"/>
              <w:gridCol w:w="32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563"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明细</w:t>
                  </w:r>
                </w:p>
              </w:tc>
              <w:tc>
                <w:tcPr>
                  <w:tcW w:w="3208"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563"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具备履行合同所必需设备和专业技术能力专项证明材料（若有）</w:t>
                  </w:r>
                </w:p>
              </w:tc>
              <w:tc>
                <w:tcPr>
                  <w:tcW w:w="3208"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563"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供应商必须具有经运输管理部门许可的汽车整车维修</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三</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类以上（含</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三</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类）资质的汽车维修机构，须提供《机动车维修经营许可证》</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或</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机动车维修经营备案</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证明材料</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w:t>
                  </w:r>
                </w:p>
              </w:tc>
              <w:tc>
                <w:tcPr>
                  <w:tcW w:w="3208"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供应商须提供</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具有经运输管理部门许可的汽车整车维修</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三</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类以上（含</w:t>
                  </w:r>
                  <w:r>
                    <w:rPr>
                      <w:rFonts w:hint="eastAsia" w:asciiTheme="minorEastAsia" w:hAnsiTheme="minorEastAsia" w:eastAsiaTheme="minorEastAsia" w:cstheme="minorEastAsia"/>
                      <w:color w:val="000000" w:themeColor="text1"/>
                      <w:kern w:val="0"/>
                      <w:sz w:val="24"/>
                      <w:highlight w:val="none"/>
                      <w:lang w:eastAsia="zh-CN"/>
                      <w14:textFill>
                        <w14:solidFill>
                          <w14:schemeClr w14:val="tx1"/>
                        </w14:solidFill>
                      </w14:textFill>
                    </w:rPr>
                    <w:t>三</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类）资质的汽车维修机构，须提供《机动车维修经营许可证》</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复印件</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或</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机动车维修经营备案</w:t>
                  </w:r>
                  <w:r>
                    <w:rPr>
                      <w:rFonts w:hint="eastAsia" w:asciiTheme="minorEastAsia" w:hAnsiTheme="minorEastAsia" w:eastAsiaTheme="minorEastAsia" w:cstheme="minorEastAsia"/>
                      <w:color w:val="000000" w:themeColor="text1"/>
                      <w:kern w:val="0"/>
                      <w:sz w:val="24"/>
                      <w:highlight w:val="none"/>
                      <w:lang w:val="en-US" w:eastAsia="zh-CN"/>
                      <w14:textFill>
                        <w14:solidFill>
                          <w14:schemeClr w14:val="tx1"/>
                        </w14:solidFill>
                      </w14:textFill>
                    </w:rPr>
                    <w:t>证明材料复印件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tc>
            </w:tr>
          </w:tbl>
          <w:p>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是否接受联合体形式的响应谈判：</w:t>
            </w:r>
            <w:r>
              <w:rPr>
                <w:rFonts w:hint="eastAsia" w:asciiTheme="minorEastAsia" w:hAnsiTheme="minorEastAsia" w:eastAsiaTheme="minorEastAsia" w:cstheme="minorEastAsia"/>
                <w:color w:val="000000" w:themeColor="text1"/>
                <w:highlight w:val="none"/>
                <w14:textFill>
                  <w14:solidFill>
                    <w14:schemeClr w14:val="tx1"/>
                  </w14:solidFill>
                </w14:textFill>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90"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响应文件有效期：</w:t>
            </w:r>
            <w:r>
              <w:rPr>
                <w:rFonts w:hint="eastAsia" w:asciiTheme="minorEastAsia" w:hAnsiTheme="minorEastAsia" w:eastAsiaTheme="minorEastAsia" w:cstheme="minorEastAsia"/>
                <w:color w:val="000000" w:themeColor="text1"/>
                <w:highlight w:val="none"/>
                <w14:textFill>
                  <w14:solidFill>
                    <w14:schemeClr w14:val="tx1"/>
                  </w14:solidFill>
                </w14:textFill>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提交谈判保证金：</w:t>
            </w:r>
          </w:p>
          <w:p>
            <w:pPr>
              <w:pStyle w:val="9"/>
              <w:widowControl/>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本项目的谈判保证金详见《采购标的一览表》，数额不得超过采购项目预算金额的2%，提交方式为公对公转账 ，须于投标保证金截止时间前到达指定账户为准，是否到达以</w:t>
            </w:r>
            <w:r>
              <w:rPr>
                <w:rFonts w:hint="eastAsia" w:asciiTheme="minorEastAsia" w:hAnsiTheme="minorEastAsia" w:eastAsiaTheme="minorEastAsia" w:cstheme="minorEastAsia"/>
                <w:b/>
                <w:color w:val="000000" w:themeColor="text1"/>
                <w:highlight w:val="none"/>
                <w14:textFill>
                  <w14:solidFill>
                    <w14:schemeClr w14:val="tx1"/>
                  </w14:solidFill>
                </w14:textFill>
              </w:rPr>
              <w:t>投标保证金递交专用账户到账</w:t>
            </w:r>
            <w:r>
              <w:rPr>
                <w:rFonts w:hint="eastAsia" w:asciiTheme="minorEastAsia" w:hAnsiTheme="minorEastAsia" w:eastAsiaTheme="minorEastAsia" w:cstheme="minorEastAsia"/>
                <w:color w:val="000000" w:themeColor="text1"/>
                <w:highlight w:val="none"/>
                <w14:textFill>
                  <w14:solidFill>
                    <w14:schemeClr w14:val="tx1"/>
                  </w14:solidFill>
                </w14:textFill>
              </w:rPr>
              <w:t>为准；</w:t>
            </w:r>
          </w:p>
          <w:p>
            <w:pPr>
              <w:pStyle w:val="9"/>
              <w:widowControl/>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其他约定：无。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谈判保证金退还的其它要求：</w:t>
            </w:r>
            <w:r>
              <w:rPr>
                <w:rFonts w:hint="eastAsia" w:asciiTheme="minorEastAsia" w:hAnsiTheme="minorEastAsia" w:eastAsiaTheme="minorEastAsia" w:cstheme="minorEastAsia"/>
                <w:color w:val="000000" w:themeColor="text1"/>
                <w:highlight w:val="none"/>
                <w14:textFill>
                  <w14:solidFill>
                    <w14:schemeClr w14:val="tx1"/>
                  </w14:solidFill>
                </w14:textFill>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响应文件的份数</w:t>
            </w:r>
          </w:p>
          <w:p>
            <w:pPr>
              <w:pStyle w:val="9"/>
              <w:widowControl/>
              <w:wordWrap w:val="0"/>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（1）纸质响应文件 </w:t>
            </w:r>
          </w:p>
          <w:p>
            <w:pPr>
              <w:pStyle w:val="9"/>
              <w:widowControl/>
              <w:wordWrap w:val="0"/>
              <w:spacing w:beforeAutospacing="0"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①响应文件正本1 份、副本3 份。</w:t>
            </w:r>
          </w:p>
          <w:p>
            <w:pPr>
              <w:pStyle w:val="9"/>
              <w:widowControl/>
              <w:wordWrap w:val="0"/>
              <w:spacing w:beforeAutospacing="0"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②电子响应文件可读介质（光盘或U盘）</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highlight w:val="none"/>
                <w14:textFill>
                  <w14:solidFill>
                    <w14:schemeClr w14:val="tx1"/>
                  </w14:solidFill>
                </w14:textFill>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14.4</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谈判过程中可能发生实质性变动的内容：</w:t>
            </w:r>
            <w:r>
              <w:rPr>
                <w:rFonts w:hint="eastAsia" w:asciiTheme="minorEastAsia" w:hAnsiTheme="minorEastAsia" w:eastAsiaTheme="minorEastAsia" w:cstheme="minorEastAsia"/>
                <w:color w:val="000000" w:themeColor="text1"/>
                <w:highlight w:val="none"/>
                <w14:textFill>
                  <w14:solidFill>
                    <w14:schemeClr w14:val="tx1"/>
                  </w14:solidFill>
                </w14:textFill>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22.2</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wordWrap w:val="0"/>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信息公告指定媒体（以下简称：“指定媒体”）：</w:t>
            </w:r>
          </w:p>
          <w:p>
            <w:pPr>
              <w:widowControl/>
              <w:wordWrap w:val="0"/>
              <w:spacing w:line="348" w:lineRule="atLeast"/>
              <w:jc w:val="lef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(1)中国政府采购网，网址www.ccgp.gov.cn</w:t>
            </w:r>
            <w:r>
              <w:rPr>
                <w:rFonts w:hint="eastAsia" w:asciiTheme="minorEastAsia" w:hAnsiTheme="minorEastAsia" w:eastAsiaTheme="minorEastAsia" w:cstheme="minorEastAsia"/>
                <w:color w:val="000000" w:themeColor="text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福建景鑫招标有限公司网，网址</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HYPERLINK "http://www.fjsjxzb.com/"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http://www.jxzbyxgs.com/</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w:t>
            </w:r>
          </w:p>
          <w:p>
            <w:pPr>
              <w:pStyle w:val="9"/>
              <w:widowControl/>
              <w:wordWrap w:val="0"/>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本项目监督管理部门：</w:t>
            </w:r>
            <w:r>
              <w:rPr>
                <w:rFonts w:hint="eastAsia" w:asciiTheme="minorEastAsia" w:hAnsiTheme="minorEastAsia" w:eastAsiaTheme="minorEastAsia" w:cstheme="minorEastAsia"/>
                <w:color w:val="000000" w:themeColor="text1"/>
                <w:highlight w:val="none"/>
                <w14:textFill>
                  <w14:solidFill>
                    <w14:schemeClr w14:val="tx1"/>
                  </w14:solidFill>
                </w14:textFill>
              </w:rPr>
              <w:t>泉州师范学院。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24.1</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履约保证金：</w:t>
            </w:r>
          </w:p>
          <w:tbl>
            <w:tblPr>
              <w:tblStyle w:val="10"/>
              <w:tblW w:w="6698"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13"/>
              <w:gridCol w:w="60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tblHeader/>
                <w:tblCellSpacing w:w="0" w:type="dxa"/>
              </w:trPr>
              <w:tc>
                <w:tcPr>
                  <w:tcW w:w="613"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包号</w:t>
                  </w:r>
                </w:p>
              </w:tc>
              <w:tc>
                <w:tcPr>
                  <w:tcW w:w="608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13"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w:t>
                  </w:r>
                </w:p>
              </w:tc>
              <w:tc>
                <w:tcPr>
                  <w:tcW w:w="6085" w:type="dxa"/>
                  <w:tcBorders>
                    <w:top w:val="outset" w:color="auto" w:sz="6" w:space="0"/>
                    <w:left w:val="outset" w:color="auto" w:sz="6" w:space="0"/>
                    <w:bottom w:val="outset" w:color="auto" w:sz="6" w:space="0"/>
                    <w:right w:val="outset" w:color="auto" w:sz="6" w:space="0"/>
                  </w:tcBorders>
                  <w:vAlign w:val="center"/>
                </w:tcPr>
                <w:p>
                  <w:pPr>
                    <w:pStyle w:val="4"/>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Cs/>
                      <w:color w:val="000000" w:themeColor="text1"/>
                      <w:highlight w:val="none"/>
                      <w14:textFill>
                        <w14:solidFill>
                          <w14:schemeClr w14:val="tx1"/>
                        </w14:solidFill>
                      </w14:textFill>
                    </w:rPr>
                    <w:t>成交供应商</w:t>
                  </w:r>
                  <w:r>
                    <w:rPr>
                      <w:rFonts w:hint="eastAsia" w:asciiTheme="minorEastAsia" w:hAnsiTheme="minorEastAsia" w:eastAsiaTheme="minorEastAsia" w:cstheme="minorEastAsia"/>
                      <w:color w:val="000000" w:themeColor="text1"/>
                      <w:highlight w:val="none"/>
                      <w14:textFill>
                        <w14:solidFill>
                          <w14:schemeClr w14:val="tx1"/>
                        </w14:solidFill>
                      </w14:textFill>
                    </w:rPr>
                    <w:t>在签订合同前应向采购人</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缴纳</w:t>
                  </w:r>
                  <w:r>
                    <w:rPr>
                      <w:rFonts w:hint="eastAsia" w:asciiTheme="minorEastAsia" w:hAnsiTheme="minorEastAsia" w:eastAsiaTheme="minorEastAsia" w:cstheme="minorEastAsia"/>
                      <w:color w:val="000000" w:themeColor="text1"/>
                      <w:highlight w:val="none"/>
                      <w14:textFill>
                        <w14:solidFill>
                          <w14:schemeClr w14:val="tx1"/>
                        </w14:solidFill>
                      </w14:textFill>
                    </w:rPr>
                    <w:t>履约保证金人民币</w:t>
                  </w:r>
                  <w:r>
                    <w:rPr>
                      <w:rFonts w:hint="eastAsia" w:asciiTheme="minorEastAsia" w:hAnsiTheme="minorEastAsia" w:eastAsiaTheme="minorEastAsia" w:cstheme="minorEastAsia"/>
                      <w:b/>
                      <w:color w:val="000000" w:themeColor="text1"/>
                      <w:highlight w:val="none"/>
                      <w:u w:val="single"/>
                      <w:lang w:val="en-US" w:eastAsia="zh-CN"/>
                      <w14:textFill>
                        <w14:solidFill>
                          <w14:schemeClr w14:val="tx1"/>
                        </w14:solidFill>
                      </w14:textFill>
                    </w:rPr>
                    <w:t>3000</w:t>
                  </w:r>
                  <w:r>
                    <w:rPr>
                      <w:rFonts w:hint="eastAsia" w:asciiTheme="minorEastAsia" w:hAnsiTheme="minorEastAsia" w:eastAsiaTheme="minorEastAsia" w:cstheme="minorEastAsia"/>
                      <w:color w:val="000000" w:themeColor="text1"/>
                      <w:highlight w:val="none"/>
                      <w14:textFill>
                        <w14:solidFill>
                          <w14:schemeClr w14:val="tx1"/>
                        </w14:solidFill>
                      </w14:textFill>
                    </w:rPr>
                    <w:t>元整。该履约保证金在</w:t>
                  </w:r>
                  <w:r>
                    <w:rPr>
                      <w:rFonts w:hint="eastAsia" w:asciiTheme="minorEastAsia" w:hAnsiTheme="minorEastAsia" w:eastAsiaTheme="minorEastAsia" w:cstheme="minorEastAsia"/>
                      <w:bCs/>
                      <w:color w:val="000000" w:themeColor="text1"/>
                      <w:highlight w:val="none"/>
                      <w14:textFill>
                        <w14:solidFill>
                          <w14:schemeClr w14:val="tx1"/>
                        </w14:solidFill>
                      </w14:textFill>
                    </w:rPr>
                    <w:t>成交</w:t>
                  </w:r>
                  <w:r>
                    <w:rPr>
                      <w:rFonts w:hint="eastAsia" w:asciiTheme="minorEastAsia" w:hAnsiTheme="minorEastAsia" w:eastAsiaTheme="minorEastAsia" w:cstheme="minorEastAsia"/>
                      <w:color w:val="000000" w:themeColor="text1"/>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服务</w:t>
                  </w:r>
                  <w:r>
                    <w:rPr>
                      <w:rFonts w:hint="eastAsia" w:asciiTheme="minorEastAsia" w:hAnsiTheme="minorEastAsia" w:eastAsiaTheme="minorEastAsia" w:cstheme="minorEastAsia"/>
                      <w:color w:val="000000" w:themeColor="text1"/>
                      <w:highlight w:val="none"/>
                      <w14:textFill>
                        <w14:solidFill>
                          <w14:schemeClr w14:val="tx1"/>
                        </w14:solidFill>
                      </w14:textFill>
                    </w:rPr>
                    <w:t>期满后</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无服务质量问题</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一次性无息退还</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tc>
            </w:tr>
          </w:tbl>
          <w:p>
            <w:pPr>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25</w:t>
            </w:r>
          </w:p>
        </w:tc>
        <w:tc>
          <w:tcPr>
            <w:tcW w:w="719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根据采购项目特点或政策需要补充的其他新增内容：</w:t>
            </w:r>
          </w:p>
          <w:p>
            <w:pPr>
              <w:pStyle w:val="9"/>
              <w:widowControl/>
              <w:wordWrap w:val="0"/>
              <w:spacing w:beforeAutospacing="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(1)本项目代理服务费由</w:t>
            </w:r>
            <w:r>
              <w:rPr>
                <w:rFonts w:hint="eastAsia" w:asciiTheme="minorEastAsia" w:hAnsiTheme="minorEastAsia" w:eastAsiaTheme="minorEastAsia" w:cstheme="minorEastAsia"/>
                <w:color w:val="000000" w:themeColor="text1"/>
                <w:highlight w:val="none"/>
                <w14:textFill>
                  <w14:solidFill>
                    <w14:schemeClr w14:val="tx1"/>
                  </w14:solidFill>
                </w14:textFill>
              </w:rPr>
              <w:t>成交供应商</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支付。</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(2)其他：</w:t>
            </w:r>
            <w:r>
              <w:rPr>
                <w:rFonts w:hint="eastAsia" w:asciiTheme="minorEastAsia" w:hAnsiTheme="minorEastAsia" w:eastAsiaTheme="minorEastAsia" w:cstheme="minorEastAsia"/>
                <w:color w:val="000000" w:themeColor="text1"/>
                <w:highlight w:val="none"/>
                <w14:textFill>
                  <w14:solidFill>
                    <w14:schemeClr w14:val="tx1"/>
                  </w14:solidFill>
                </w14:textFill>
              </w:rPr>
              <w:t>收费标准参照国家计委“计价格【2002】1980号”文件规定的标准收费。</w:t>
            </w:r>
            <w:r>
              <w:rPr>
                <w:rFonts w:hint="eastAsia" w:asciiTheme="minorEastAsia" w:hAnsiTheme="minorEastAsia" w:eastAsiaTheme="minorEastAsia" w:cstheme="minorEastAsia"/>
                <w:b/>
                <w:bCs/>
                <w:color w:val="000000" w:themeColor="text1"/>
                <w:highlight w:val="none"/>
                <w:lang w:eastAsia="zh-CN"/>
                <w14:textFill>
                  <w14:solidFill>
                    <w14:schemeClr w14:val="tx1"/>
                  </w14:solidFill>
                </w14:textFill>
              </w:rPr>
              <w:t>每家成交供应商成交费用</w:t>
            </w: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2000元</w:t>
            </w:r>
            <w:r>
              <w:rPr>
                <w:rFonts w:hint="eastAsia" w:asciiTheme="minorEastAsia" w:hAnsiTheme="minorEastAsia" w:eastAsiaTheme="minorEastAsia" w:cstheme="minorEastAsia"/>
                <w:b/>
                <w:bCs/>
                <w:color w:val="000000" w:themeColor="text1"/>
                <w:highlight w:val="none"/>
                <w14:textFill>
                  <w14:solidFill>
                    <w14:schemeClr w14:val="tx1"/>
                  </w14:solidFill>
                </w14:textFill>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25"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12</w:t>
            </w:r>
          </w:p>
        </w:tc>
        <w:tc>
          <w:tcPr>
            <w:tcW w:w="1064"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194" w:type="dxa"/>
            <w:tcBorders>
              <w:top w:val="single" w:color="000000" w:sz="6" w:space="0"/>
              <w:left w:val="single" w:color="000000" w:sz="6" w:space="0"/>
              <w:bottom w:val="single" w:color="000000" w:sz="6" w:space="0"/>
              <w:right w:val="single" w:color="000000" w:sz="6" w:space="0"/>
            </w:tcBorders>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是否组织现场考察或召开开标前答疑会：否</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w:t>
            </w:r>
          </w:p>
        </w:tc>
      </w:tr>
    </w:tbl>
    <w:p>
      <w:pPr>
        <w:pStyle w:val="9"/>
        <w:widowControl/>
        <w:spacing w:before="75" w:beforeAutospacing="0" w:after="75" w:afterAutospacing="0" w:line="435" w:lineRule="atLeast"/>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bookmarkStart w:id="3" w:name="_GoBack"/>
      <w:bookmarkEnd w:id="3"/>
    </w:p>
    <w:p>
      <w:pPr>
        <w:pStyle w:val="9"/>
        <w:widowControl/>
        <w:spacing w:before="75" w:beforeAutospacing="0" w:after="75" w:afterAutospacing="0" w:line="435" w:lineRule="atLeast"/>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专项附件：评定成交的标准和方法</w:t>
      </w:r>
    </w:p>
    <w:p>
      <w:pPr>
        <w:pStyle w:val="9"/>
        <w:widowControl/>
        <w:spacing w:before="75" w:beforeAutospacing="0" w:after="75" w:afterAutospacing="0" w:line="40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一、谈判小组</w:t>
      </w:r>
    </w:p>
    <w:p>
      <w:pPr>
        <w:pStyle w:val="9"/>
        <w:widowControl/>
        <w:spacing w:before="75" w:beforeAutospacing="0" w:after="75" w:afterAutospacing="0" w:line="40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05" w:lineRule="atLeast"/>
        <w:ind w:firstLine="24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1.1采购人根据项目的特点依法组建谈判小组。</w:t>
      </w:r>
    </w:p>
    <w:p>
      <w:pPr>
        <w:pStyle w:val="9"/>
        <w:widowControl/>
        <w:spacing w:before="75" w:beforeAutospacing="0" w:after="75" w:afterAutospacing="0" w:line="405" w:lineRule="atLeast"/>
        <w:ind w:firstLine="24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1.2谈判小组由采购人代表和评审专家两部分（以下简称“评委”）共</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t>人组成，其中：采购人代表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highlight w:val="none"/>
          <w14:textFill>
            <w14:solidFill>
              <w14:schemeClr w14:val="tx1"/>
            </w14:solidFill>
          </w14:textFill>
        </w:rPr>
        <w:t>人由采购人派出，评审专家</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2</w:t>
      </w:r>
      <w:r>
        <w:rPr>
          <w:rFonts w:hint="eastAsia" w:asciiTheme="minorEastAsia" w:hAnsiTheme="minorEastAsia" w:eastAsiaTheme="minorEastAsia" w:cstheme="minorEastAsia"/>
          <w:color w:val="000000" w:themeColor="text1"/>
          <w:highlight w:val="none"/>
          <w14:textFill>
            <w14:solidFill>
              <w14:schemeClr w14:val="tx1"/>
            </w14:solidFill>
          </w14:textFill>
        </w:rPr>
        <w:t>人由政府采购评审专家库产生。达到公开招标数额标准的货物或者服务采购项目，或者达到招标规模标准的政府采购工程，竞争性谈判小组应当由5人或以上单数组成。</w:t>
      </w:r>
    </w:p>
    <w:p>
      <w:pPr>
        <w:pStyle w:val="9"/>
        <w:widowControl/>
        <w:spacing w:before="75" w:beforeAutospacing="0" w:after="75" w:afterAutospacing="0" w:line="405" w:lineRule="atLeast"/>
        <w:ind w:firstLine="24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1.3谈判小组负责具体谈判和评审事务，并按照下列原则依法独立履行有关职责：</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1.3.1评审应保护国家利益、社会公共利益和各方当事人合法权益，提高采购效益，保证项目质量。</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1.3.2评审应遵循公平、公正、科学、严谨和择优原则。</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1.3.3评审的依据是谈判文件和响应文件，谈判文件中没有规定的评审标准不得作为评审依据。</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1.3.4谈判小组应按照谈判文件规定推荐成交候选供应商或根据采购人的授权确定成交供应商。</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1.3.5评审应遵守下列评审纪律：</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①评审情况不得私自外泄，有关信息由采购人或其委托的代理机构统一对外发布。</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②对采购人或供应商提供的要求保密的资料，不得摘记翻印和外传。</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③不得收受供应商或有关人员的任何礼物，不得串联鼓动其他人袒护某供应商。若与供应商存在利害关系，则应主动声明并回避。</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④全体谈判小组成员应按照谈判文件规定进行评审，一切认定事项应查有实据且不得弄虚作假。</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⑤评审中应充分发扬民主，推荐成交供应商候选人或根据采购人授权确定成交供应商后要服从评审报告。</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※对违反评审纪律的评委，将取消其评委资格，对评审工作造成严重损失者将予以通报批评乃至追究法律责任。</w:t>
      </w:r>
    </w:p>
    <w:p>
      <w:pPr>
        <w:pStyle w:val="9"/>
        <w:widowControl/>
        <w:spacing w:before="75" w:beforeAutospacing="0" w:after="75" w:afterAutospacing="0" w:line="40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二、</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谈判程序</w:t>
      </w:r>
    </w:p>
    <w:p>
      <w:pPr>
        <w:pStyle w:val="9"/>
        <w:widowControl/>
        <w:spacing w:before="75" w:beforeAutospacing="0" w:after="75" w:afterAutospacing="0" w:line="40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05" w:lineRule="atLeast"/>
        <w:ind w:firstLine="24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2.1谈判程序按照谈判文件第二章第2节“竞争性谈判须知”第14条“谈判程序以及评定成交的标准”的相关条款规定执行。</w:t>
      </w:r>
    </w:p>
    <w:p>
      <w:pPr>
        <w:pStyle w:val="9"/>
        <w:widowControl/>
        <w:spacing w:before="75" w:beforeAutospacing="0" w:after="75" w:afterAutospacing="0" w:line="405" w:lineRule="atLeast"/>
        <w:ind w:firstLine="24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9"/>
        <w:widowControl/>
        <w:spacing w:before="75" w:beforeAutospacing="0" w:after="75" w:afterAutospacing="0" w:line="405" w:lineRule="atLeast"/>
        <w:ind w:firstLine="24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9"/>
        <w:widowControl/>
        <w:spacing w:before="75" w:beforeAutospacing="0" w:after="75" w:afterAutospacing="0" w:line="405" w:lineRule="atLeast"/>
        <w:ind w:firstLine="24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2.3只有资格审查和实质性响应审查均合格且按规定提交最后报价的合格供应商才能参加评定成交的最后价格排序和成交候选人推荐。</w:t>
      </w:r>
    </w:p>
    <w:p>
      <w:pPr>
        <w:pStyle w:val="9"/>
        <w:widowControl/>
        <w:spacing w:before="75" w:beforeAutospacing="0" w:after="75" w:afterAutospacing="0" w:line="40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0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三、最低评审价法和成交候选人推荐</w:t>
      </w:r>
    </w:p>
    <w:p>
      <w:pPr>
        <w:pStyle w:val="9"/>
        <w:widowControl/>
        <w:spacing w:before="75" w:beforeAutospacing="0" w:after="75" w:afterAutospacing="0" w:line="40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05" w:lineRule="atLeast"/>
        <w:ind w:firstLine="24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3.1谈判小组将采用最低评审价法对提交最后报价的合格供应商的响应文件和最后报价进行评审，并推荐成交候选人。如果谈判项目有多个合同包，则按相应合同包分别进行，具体评审的标准和方法如下：</w:t>
      </w:r>
    </w:p>
    <w:p>
      <w:pPr>
        <w:pStyle w:val="9"/>
        <w:widowControl/>
        <w:spacing w:beforeAutospacing="0" w:afterAutospacing="0" w:line="405" w:lineRule="atLeast"/>
        <w:ind w:firstLine="465"/>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3.1.1根据财政部及福建省财政厅等有关政府采购文件规定执行价格评审优惠政策，价格扣除规则如下：</w:t>
      </w:r>
    </w:p>
    <w:p>
      <w:pPr>
        <w:pStyle w:val="9"/>
        <w:widowControl/>
        <w:spacing w:beforeAutospacing="0"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包1: </w:t>
      </w:r>
    </w:p>
    <w:p>
      <w:pPr>
        <w:pStyle w:val="9"/>
        <w:widowControl/>
        <w:numPr>
          <w:ilvl w:val="0"/>
          <w:numId w:val="3"/>
        </w:numPr>
        <w:autoSpaceDE w:val="0"/>
        <w:spacing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根据《政府采购促进中小企业发展暂行办法》（财库[2011]181号）文件规定，符合中小企业划分标准的企业（联合体各方均为小型、微型企业的，联合体视同为小型、微型企业）提供本企业制造的货物、承担的工程或者服务，或者提供其他中小企业制造的货物，对小型和微型企业产品的投标价格给予6%的评审价格扣除优惠。(大中型企业和其他自然人、法人或者其他组织与小型、微型企业组成联合体共同参加非专门面向中小企业的政府采购活动。联合协议中约定，小型、微型企业的协议合同金额占到联合体协议合同总金额30%以上的，可给予联合体2%的价格扣除优惠。但组成联合体的大中型企业和其他自然人、法人或者其他组织，与小型、微型企业之间不得存在投资关系。) 参加政府采购活动的小型、微型企业应当提供： a.《小微企业声明函》 b.对小型、微型企业的认定，由企业所在地的县级以上中小微企业主管部门负责。（专门面向小微企业的招标项目，可不提供此项。）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 （3）根据财政部、民政部、中国残疾人联合会联合发布的《关于促进残疾人就业政府采购政策的通知》（财库[2017]141号）文件规定，符合规定的残疾人福利性单位参加政府采购活动视同小型、微型企业，提供《残疾人福利性单位声明函》并对声明的真实性负责，其报价享受10%的评审价格扣除优惠。但残疾人福利性单位属于小型、微型企业的，不重复享受该评审优惠。残疾人福利性单位认定标准及《残疾人福利性单位声明函》详见《财政部 民政部 中国残疾人联合会关于促进残疾人就业政府采购政策的通知》（财库〔2017〕141号）（网址：http://www.ccgp.gov.cn/zcfg/mof/201709/t20170904_8787205.htm （注：除残疾人福利性单位外，其余小型、微型企业（含监狱企业）承担的工程或提供的服务不享受价格扣除。）</w:t>
      </w:r>
    </w:p>
    <w:p>
      <w:pPr>
        <w:pStyle w:val="9"/>
        <w:widowControl/>
        <w:numPr>
          <w:ilvl w:val="0"/>
          <w:numId w:val="0"/>
        </w:numPr>
        <w:autoSpaceDE w:val="0"/>
        <w:spacing w:line="40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优先类节能产品、环境标志产品：优先类节能产品、环境标志产品：优先类节能产品、环境标志产品：根据《国务院办公厅关于建立政府强制采购节能产品制度的通知》(国办发[2007]51号)和财政部、发展改革委发布的《节能产品政府采购实施意见》(财库[2004]185号)以及财政部、发展改革委关于调整公布最新一期节能产品政府采购清单的通知的规定，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视频监控设备、便器、水嘴等为政府强制采购节能产品（以“★”标注）。本次采购货物中属于政府强制采购节能产品范围的，投标人所投产品必须是最新一期《节能产品政府采购清单》内产品，并提供所投强制采购节能产品在最新一期节能产品政府采购清单中所在页复印件，否则投标无效。且台式计算机性能参数须与最新一期节能清单附件中所列的性能参数相一致，必须提供所投台式计算机在最新一期《节能产品政府采购清单台式计算机性能参数》中所在位置复印件，否则投标无效。节能（非强制类产品）、减排、环境标志产品部分价格扣除标准：若同一合同包内节能、环境标志产品报价总金额占本合同包报价总金额10%（含10%）-50%（不含50%），将给予节能、环境标志产品每个单项报价5%的价格扣除；若同一合同包内节能、环境标志产品报价总金额占本合同包报价总金额50%及以上，将给予节能、环境标志产品每个单项报价10%的价格扣除。</w:t>
      </w:r>
    </w:p>
    <w:p>
      <w:pPr>
        <w:pStyle w:val="9"/>
        <w:widowControl/>
        <w:autoSpaceDE w:val="0"/>
        <w:spacing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c.其他：无。</w:t>
      </w:r>
    </w:p>
    <w:p>
      <w:pPr>
        <w:pStyle w:val="9"/>
        <w:widowControl/>
        <w:spacing w:before="75" w:beforeAutospacing="0" w:after="75" w:afterAutospacing="0" w:line="405" w:lineRule="atLeast"/>
        <w:ind w:firstLine="465"/>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3.1.2合格供应商提交的最后报价按照上文3.1.1款规定的价格扣除规则计算后，得出的价格称为最后报价评审价。</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 xml:space="preserve"> </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0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四、评审报告</w:t>
      </w:r>
    </w:p>
    <w:p>
      <w:pPr>
        <w:pStyle w:val="9"/>
        <w:widowControl/>
        <w:spacing w:before="75" w:beforeAutospacing="0" w:after="75" w:afterAutospacing="0" w:line="40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05" w:lineRule="atLeast"/>
        <w:ind w:firstLine="24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4.1谈判小组完成评审后，应当编写评审报告并提交给采购人。</w:t>
      </w:r>
    </w:p>
    <w:p>
      <w:pPr>
        <w:pStyle w:val="9"/>
        <w:widowControl/>
        <w:spacing w:before="75" w:beforeAutospacing="0" w:after="75" w:afterAutospacing="0" w:line="405" w:lineRule="atLeast"/>
        <w:ind w:firstLine="24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4.2评审报告应当包括以下主要内容：</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（一）邀请供应商参加采购活动的具体方式和相关情况，以及参加采购活动的供应商名单；</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（二）评审日期和地点，谈判小组成员名单；</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（三）评审情况记录和说明，包括对供应商的资格审查情况、供应商响应文件评审情况、谈判情况、报价情况等；</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（四）提出的成交候选人的名单及理由。</w:t>
      </w:r>
    </w:p>
    <w:p>
      <w:pPr>
        <w:pStyle w:val="9"/>
        <w:widowControl/>
        <w:spacing w:before="75" w:beforeAutospacing="0" w:after="75" w:afterAutospacing="0" w:line="405" w:lineRule="atLeast"/>
        <w:ind w:firstLine="24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0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五、其他规定</w:t>
      </w:r>
    </w:p>
    <w:p>
      <w:pPr>
        <w:pStyle w:val="9"/>
        <w:widowControl/>
        <w:spacing w:before="75" w:beforeAutospacing="0" w:after="75" w:afterAutospacing="0" w:line="40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0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5.1其他规定</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5.1.1评审应全程保密且不得透露给任一供应商或与评审工作无关的人员。</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5.1.2评审将进行全程实时录音录像，录音录像资料随采购文件一并存档。</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5.1.3若供应商有任何试图干扰具体评审事务，影响谈判小组独立履行职责的行为，其响应无效且不予退还谈判保证金。情节严重的，由财政部门列入不良行为记录。</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5.1.4根据采购项目的特点和需要，需要加以详细说明的其他谈判程序规定、要求等内容：</w:t>
      </w:r>
    </w:p>
    <w:p>
      <w:pPr>
        <w:pStyle w:val="9"/>
        <w:widowControl/>
        <w:spacing w:before="75" w:beforeAutospacing="0" w:after="75" w:afterAutospacing="0" w:line="40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无。</w:t>
      </w: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第2节  竞争性谈判须知</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一、总则</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1.适用范围：</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1.1适用于谈判文件载明项目的采购活动（以下简称：“本次采购活动”）。</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2.定义及要求：</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2.1“采购标的”指谈判文件载明的需要采购的货物、服务、工程。</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2.2“采购人”指本次采购项目的买方、或业主方、或甲方，具体见谈判文件第一章；“采购代理机构”系指接受采购人委托，组织开展竞争性谈判采购活动的代理机构，具体见谈判文件第一章。</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2.3“潜在供应商”按照谈判文件第一章规定进行报名，且有意向参加本项目响应谈判的供应商。</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2.4“供应商”指按照谈判文件第一章规定进行报名，且已经提交响应文件的法人或其他组织或自然人。只有适合自然人参与和承接的政府采购项目，供应商才可以是自然人。</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2.5“单位负责人”指单位法定代表人（供应商为法人的）或法律、法规规定代表单位行使职权的主要负责人（供应商为其他组织的）。</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2.6“供应商代表”指供应商（为法人或其他组织的）的单位负责人或由其授权的委托代理人，即单位负责人授权书中载明的接受授权方。供应商为自然人的，由本人签字并附身份证明。</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3.合格的供应商：</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3.1一般规定</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3.1.1供应商应当遵守中国的有关法律、法规和规章的规定，参加政府采购活动时已经自觉检查并按照政府采购相关法律规定，主动回避相应利害关系。</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3.1.2为采购项目提供整体设计、规范编制或项目管理、监理、检测等服务的供应商，不得再参加该采购项目除整体设计、规范编制和项目管理、监理、检测等服务之外的其他采购活动</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3.1.3列入失信被执行人、重大税收违法案件当事人名单、政府采购严重违法失信行为记录名单及其他不符合《中华人民共和国政府采购法》第二十二条规定条件的供应商，不得参加政府采购活动</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供应商有责任检查自身情况，在响应文件中对是否违反以上一般规定做出如实声明，否则其响应文件将被否决。</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3.2特别规定</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3.2.1供应商的资格要求：详见竞争性谈判须知前附表第1项。</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3.2.2是否接受联合体形式的响应谈判：详见竞争性谈判须知前附表第2项。若接受联合体形式且供应商为联合体，则联合体各方除了应遵守本章第3.1条规定外，还应遵守下列规定：</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（1）联合体各方应提交联合体协议，联合体协议应符合谈判文件规定。</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（2）联合体各方不得再单独参加或与其他供应商另外组成联合体参加同一合同项下的响应谈判。</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（3）联合体各方应共同与采购人签订政府采购合同，就政府采购合同约定的事项对采购人承担连带责任。</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4.参与竞争性谈判费用：</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4.1除法律法规或采购文件另有规定之外，供应商应自行承担其准备与参加竞争性谈判所涉及的一切费用。</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二、竞争性谈判文件</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5.竞争性谈判文件的组成：</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5.1竞争性谈判文件由下述部分组成：</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第一章 采购公告（或采购邀请书）</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第二章 竞争性谈判须知</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第三章 采购内容及要求</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第四章 合同主要条款及格式</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第五章 首次响应文件格式</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5.2除上述内容以外，采购人、采购代理机构或者谈判小组在采购过程期间对谈判文件所作的澄清、修改或补充，均构成谈判文件的组成部分，对采购人和供应商具有约束力。</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6.竞争性谈判文件的澄清、补充或修改：</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三、响应文件编制</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7.应标要求</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否则其相应合同包的响应文件将被否决。</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7.2供应商代表在同一个合同项下只能接受一个供应商的委托参加响应谈判，</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否则其响应文件将被否决。</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7.3供应商应仔细阅读谈判文件的所有内容和要求，按谈判文件的规定提供响应文件，并对其所提供的全部资料、承诺和声明的真实性、合法性和准确性负责。</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7.4除非竞争性谈判须知前附表另有规定外，供应商提供的响应文件应使用中文文本，若有不同文字文本，以中文文本为准。</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7.6除非竞争性谈判须知前附表另有规定外，供应商承诺的报价应以人民币进行报价，合同实施结算时亦以人民币支付；所有计量均采用中华人民共和国法定计量单位。</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8.首次响应文件的组成</w:t>
      </w:r>
      <w:r>
        <w:rPr>
          <w:rFonts w:hint="eastAsia" w:asciiTheme="minorEastAsia" w:hAnsiTheme="minorEastAsia" w:eastAsiaTheme="minorEastAsia" w:cstheme="minorEastAsia"/>
          <w:b/>
          <w:bCs/>
          <w:color w:val="000000" w:themeColor="text1"/>
          <w:highlight w:val="none"/>
          <w14:textFill>
            <w14:solidFill>
              <w14:schemeClr w14:val="tx1"/>
            </w14:solidFill>
          </w14:textFill>
        </w:rPr>
        <w:t>（需胶装装订成册）</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8.1首次响应文件包括但不限于下列部分：</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（1）谈判响应声明</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（2）报价一览表（含详细报价书）</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（3）资格证明文件</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（4）谈判保证金凭证</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（5）技术和商务偏离表</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（6）相关技术、商务、服务响应承诺及资料</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（7）供应商提交符合政府采购政策的证明材料</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（8）要求作为响应文件组成部分的其他内容（若有）</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9.响应文件有效期：</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9.1响应文件有效期见竞争性谈判须知前附表第3项，响应文件承诺的有效期不得少于谈判文件载明的有效期，</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否则其响应文件将被否决。</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10.谈判保证金：</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10.2谈判保证金为响应文件的重要组成部分之一。谈判保证金用于保护本次谈判活动免受供应商的违约或失信行为而引起的风险。未按规定提交谈判保证金的，</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其响应文件将被否决。</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10.3谈判保证金退还：</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10.4如果供应商发生以下任何一种情况时，其谈判保证金将被不予退还：</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(1)供应商在提交响应文件截止时间后撤回响应文件的；</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(2)供应商在响应文件中提供虚假材料的；</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(3)除因不可抗力或谈判文件认可的情形以外，成交供应商不与采购人签订合同的；</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(4)供应商与采购人、其他供应商或者采购代理机构恶意串通的；</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(5)供应商在提交最后报价后要求退出谈判的；</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(6)供应商假借以他人名义参加谈判或者以其他方式弄虚作假，骗取成交；</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(7)国家法律法规以及谈判文件中规定的其他谈判保证金不予退还的情形。</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上述不予退还谈判保证金的情况不能抵偿给采购人或采购代理机构造成损失的，供应商还要承担赔偿责任。</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11.纸质响应文件基本编制要求：</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11.2响应文件应由供应商代表签字并加盖公章。供应商代表如果不是竞争性谈判须知中定义的“单位负责人”，则其响应文件中还必须提供“单位负责人授权书”。</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11.3响应文件应尽量避免涂改、行间插字或删除。如果出现上述情况，改动之处应加盖供应商单位公章或由供应商代表签字确认。</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11.4供应商应提交证明其拟提供货物、服务或工程符合谈判文件要求的技术和商务响应文件，该文件可以是文字资料、图纸和数据，并对拟提供的货物、服务或工程的主要内容进行详细描述。</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12.纸质响应文件的密封、标识、签署和提交</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12.1供应商应当将响应文件密封包装提交，并在外封套上标识项目名称、项目编号、供应商单位名称以及“于</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四、竞争性谈判</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13.评审和谈判基本准则</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13.1对所有供应商的评审和谈判，都采用相同的程序和标准。</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13.2谈判及评审过程将严格按照谈判文件的要求和条件进行，谈判小组将根据供应商的响应文件，按谈判文件规定的谈判程序和评定成交标准进行评审和谈判，并推荐成交候选人。</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14.谈判程序以及评定成交标准</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14.1采购人将根据项目的特点依法组建谈判小组。谈判小组将根据谈判文件规定的程序、评定成交标准等内容对供应商进行评审、谈判。</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14.2.1供应商有下列情况之一者，其提交的响应文件将被视为未实质性响应谈判文件要求，谈判小组将否决其响应文件，按无效处理：</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(1)响应文件中提供的资格证明文件不全的；</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(2)响应文件未按谈判文件规定由供应商代表签字，或未按谈判文件规定加盖供应商单位公章的；或供应商代表未获得有效授权的；</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(3)供应商未按谈判文件规定提交谈判保证金的；</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(4)响应文件有效期不满足谈判文件要求的；</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(5)响应内容与谈判采购内容及要求有重大偏离或保留的，限制了采购人的权利或者减少成交供应商合同项下的义务；（由于谈判项目本身特点，不能详细列明采购标的的技术、服务要求的除外）；</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(6)响应文件中附有采购人无法接受的条件的；</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(7)不符合谈判文件中规定的其它实质性条款（比如：报价超过了谈判文件规定的最高限价）。</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  14.2.2其他情形</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包：1</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vAlign w:val="center"/>
          </w:tcPr>
          <w:p>
            <w:pPr>
              <w:widowControl/>
              <w:jc w:val="center"/>
              <w:rPr>
                <w:rFonts w:hint="eastAsia"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依据采购文件的规定，谈判小组还将从响应文件的有效性、完整性和对采购文件的响应程度进行审查，以确定是否符合对采购文件的实质性要求作出响应。（采购人可根据具体项目的情况对实质性要求作特别的规定。）实质性偏离是指：（1）实质性影响合同的范围、质量和履行；（2）实质性违背谈判文件，限制了采购人的权利和成交人合同项下的义务；（3）不公正地影响了其它作出实质性响应的响应人的竞争地位。对没有实质性响应的投标文件将不进行评估，其投标将被拒绝。下列情况之一者，投标文件无效，作为废标处理： (1) 响应文件未按照谈判文件第二章投标人须知前附表“密封及其标记的具体形式”的规定进行密封、标记的；(2)纸质响应文件未按规定由投标人的法定代表人或其授权代表签字，或未加盖投标人公章的；或签字人未经法定代表人有效授权委托的；(3)未按规定提交投标保证金的；(4)响应有效期不满足采购文件要求的；(5)响应内容与招标内容及要求有重大偏离或保留的；(6)投标人提交的是可选择的报价；(7)投标人未按规定对报价进行分项报价；(8)一个投标人不止投一个标；(9)响应文件组成不符合采购文件要求的；(10)响应文件中提供虚假或失实资料的；(11)不满足采购文件资格标准的；（12）没有如实填报技术规格和商务偏离表或有弄虚作假行为；（13）投标人的投标报价超过预算价的；（14）不符合响应文件中规定的其它实质性条款。</w:t>
            </w:r>
          </w:p>
        </w:tc>
      </w:tr>
    </w:tbl>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谈判小组决定供应商的响应性只根据响应文件本身的内容，而不寻求其他的外部证据。</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14.10供应商提交的响应文件和资料将给予保密，但不退回（有关证件或证照的原件除外）。</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五、合同授予</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15.授予合同的准则：</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15.1除不可抗力等因素外，合同将授予响应文件符合竞争性谈判文件要求，能够圆满地履行合同，且被谈判小组推</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荐为第一成交候选人的供应商。</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15.3为维护国家利益和社会公共利益，最低报价不是被授予合同的绝对保证。</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16.确定成交供应在商：</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16.1采购人委托代理机构组织竞争性谈判采购活动的，采购代理机构在评审结束后2个工作日内将评审报告送采购人确认。</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17.成交通知:</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18.签订合同：</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18.2竞争性谈判文件、成交供应商的响应文件及其有关澄清承诺文件等，均为签订政府采购合同的依据和组成部分。</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六、询问、质疑与投诉</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19.询问</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19.1潜在供应商或供应商对本次采购活动的有关事项若有疑问，可向采购人或采购代理机构提出询问，采购人或采购代理机构将按照政府采购法及实施条例的有关规定进行答复。</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20.质疑</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20.1质疑应在政府采购法及实施条例规定的时效内提出，并符合下列条件：</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20.1.2质疑人应提交质疑函原件。</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20.1.3质疑函应包括下列主要内容：</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②所质疑项目的基本信息，至少包括：项目编号、项目名称等；</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③所质疑的具体事项（以下简称：“质疑事项”）；</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④质疑人自身权益受到损害的事实依据和证明材料，至少包括：</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a1所质疑的具体事项事实存在的证明材料；</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a2所质疑的具体事项事实导致质疑人自身权益受到损害的证明材料，如：采购文件、采购过程或成交结果违法违规，损害自已合法权益等证明材料；</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⑤针对质疑事项提出的明确请求和法律依据，</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⑥提出质疑的日期以及质疑人代表联系方式，至少包括：姓名、手机、电子信箱、邮寄地址等。</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20.2对不符合前文第20.1条规定的质疑，采购人或采购代理机构将按照下列规定进行处理：</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20.2.1超过质疑时效提交的或者质疑人不是直接参与所质疑项目采购活动的供应商，书面告知质疑人其质疑不成立的原因和理由。</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20.2.3质疑人修改、补充质疑函超过质疑时效提交的按20.2.1款处理。供应商提交质疑函时，要认真阅读本章第20条关于质疑的相关规定，以免内容或资料不齐，需要修改补充而延误时间。</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20.3对符合前文第20.1条规定的质疑，采购人或采购代理机构将按照政府采购法及实施条例的有关规定进行答复。</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21.投诉</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21.1若对质疑答复不满意或质疑答复未在答复期限内作出，质疑人可在答复期限届满之日起15个工作日内向谈判文件中载明的监督管理部门投诉。</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21.1投诉应有明确的请求和必要的证明材料，投诉的事项不得超出已质疑事项的范围。</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七、有关信息公告和监督部门</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22.政府采购信息公告媒体</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22.2信息公告指定媒体：详见竞争性谈判须知前附表第8项。</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23.监督管理部门</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23.1谈判采购活动的监督管理部门详见竞争性谈判须知前附表第9项。</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八、根据采购项目特点或政策需要补充的其他内容</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24.履约保证金</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24.2谈判文件要求在合同签订前提交履约保证金，如果成交供应商无故拖延或者拒不提交履约保证金的，则视为成交供应商拒绝与采购人签订合同，该成交供应商将承担违法行为的法律责任。</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25.其他新增内容：</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根据采购项目特点或政策需要补充的其他新增内容详见竞争性谈判须知前附表第11项。</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sz w:val="31"/>
          <w:szCs w:val="3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sz w:val="31"/>
          <w:szCs w:val="3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sz w:val="31"/>
          <w:szCs w:val="3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sz w:val="31"/>
          <w:szCs w:val="3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sz w:val="31"/>
          <w:szCs w:val="3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sz w:val="31"/>
          <w:szCs w:val="31"/>
          <w:highlight w:val="none"/>
          <w14:textFill>
            <w14:solidFill>
              <w14:schemeClr w14:val="tx1"/>
            </w14:solidFill>
          </w14:textFill>
        </w:rPr>
      </w:pPr>
    </w:p>
    <w:p>
      <w:pPr>
        <w:pStyle w:val="9"/>
        <w:widowControl/>
        <w:spacing w:before="75" w:beforeAutospacing="0" w:after="75" w:afterAutospacing="0" w:line="435" w:lineRule="atLeast"/>
        <w:jc w:val="both"/>
        <w:rPr>
          <w:rStyle w:val="13"/>
          <w:rFonts w:hint="eastAsia" w:asciiTheme="minorEastAsia" w:hAnsiTheme="minorEastAsia" w:eastAsiaTheme="minorEastAsia" w:cstheme="minorEastAsia"/>
          <w:color w:val="000000" w:themeColor="text1"/>
          <w:sz w:val="31"/>
          <w:szCs w:val="3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sz w:val="31"/>
          <w:szCs w:val="3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sz w:val="31"/>
          <w:szCs w:val="3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31"/>
          <w:szCs w:val="31"/>
          <w:highlight w:val="none"/>
          <w14:textFill>
            <w14:solidFill>
              <w14:schemeClr w14:val="tx1"/>
            </w14:solidFill>
          </w14:textFill>
        </w:rPr>
        <w:t>第三章  采购内容及要求</w:t>
      </w:r>
    </w:p>
    <w:p>
      <w:pPr>
        <w:pStyle w:val="9"/>
        <w:widowControl/>
        <w:numPr>
          <w:ilvl w:val="0"/>
          <w:numId w:val="4"/>
        </w:numPr>
        <w:spacing w:beforeAutospacing="0" w:afterAutospacing="0" w:line="340" w:lineRule="exact"/>
        <w:rPr>
          <w:rFonts w:hint="eastAsia" w:asciiTheme="minorEastAsia" w:hAnsiTheme="minorEastAsia" w:eastAsiaTheme="minorEastAsia" w:cstheme="minorEastAsia"/>
          <w:b/>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（根据本项目实际情况，填写“采购标的”或“项目概况”）</w:t>
      </w:r>
    </w:p>
    <w:p>
      <w:pPr>
        <w:numPr>
          <w:ilvl w:val="0"/>
          <w:numId w:val="5"/>
        </w:numPr>
        <w:spacing w:line="360" w:lineRule="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本次招标项目为泉州师范学院201</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9</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-20</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22</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年度公务车辆定点维修服务采购项目，通过</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竞争性谈判</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的方式确定定点维修企业数量</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2家</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w:t>
      </w:r>
    </w:p>
    <w:p>
      <w:pPr>
        <w:numPr>
          <w:ilvl w:val="0"/>
          <w:numId w:val="5"/>
        </w:numPr>
        <w:spacing w:line="360" w:lineRule="auto"/>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维修和保养最高限价表</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 xml:space="preserve">                                                      </w:t>
      </w:r>
    </w:p>
    <w:tbl>
      <w:tblPr>
        <w:tblStyle w:val="11"/>
        <w:tblpPr w:leftFromText="180" w:rightFromText="180" w:vertAnchor="text" w:horzAnchor="page" w:tblpX="1278" w:tblpY="751"/>
        <w:tblOverlap w:val="never"/>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665"/>
        <w:gridCol w:w="870"/>
        <w:gridCol w:w="1783"/>
        <w:gridCol w:w="1382"/>
        <w:gridCol w:w="132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832"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序号</w:t>
            </w:r>
          </w:p>
        </w:tc>
        <w:tc>
          <w:tcPr>
            <w:tcW w:w="1665"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车辆类型</w:t>
            </w:r>
          </w:p>
        </w:tc>
        <w:tc>
          <w:tcPr>
            <w:tcW w:w="87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数量（辆）</w:t>
            </w:r>
          </w:p>
        </w:tc>
        <w:tc>
          <w:tcPr>
            <w:tcW w:w="1783"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①材料：维修和保养价格（元/辆.年）</w:t>
            </w:r>
          </w:p>
        </w:tc>
        <w:tc>
          <w:tcPr>
            <w:tcW w:w="1382"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 xml:space="preserve">②工时  </w:t>
            </w: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（元/辆.年）</w:t>
            </w:r>
          </w:p>
        </w:tc>
        <w:tc>
          <w:tcPr>
            <w:tcW w:w="132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③洗车</w:t>
            </w: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（元/辆.年）</w:t>
            </w:r>
          </w:p>
        </w:tc>
        <w:tc>
          <w:tcPr>
            <w:tcW w:w="114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合计  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1665"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小型普通客车（轿车等）</w:t>
            </w:r>
          </w:p>
        </w:tc>
        <w:tc>
          <w:tcPr>
            <w:tcW w:w="87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p>
        </w:tc>
        <w:tc>
          <w:tcPr>
            <w:tcW w:w="1783"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7500</w:t>
            </w:r>
          </w:p>
        </w:tc>
        <w:tc>
          <w:tcPr>
            <w:tcW w:w="1382" w:type="dxa"/>
            <w:vAlign w:val="center"/>
          </w:tcPr>
          <w:p>
            <w:pPr>
              <w:pStyle w:val="9"/>
              <w:keepNext w:val="0"/>
              <w:keepLines w:val="0"/>
              <w:widowControl/>
              <w:suppressLineNumbers w:val="0"/>
              <w:spacing w:before="100" w:beforeAutospacing="1" w:after="100" w:afterAutospacing="1"/>
              <w:jc w:val="center"/>
              <w:rPr>
                <w:rFonts w:hint="default"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t>3500</w:t>
            </w:r>
          </w:p>
        </w:tc>
        <w:tc>
          <w:tcPr>
            <w:tcW w:w="1320" w:type="dxa"/>
            <w:vAlign w:val="center"/>
          </w:tcPr>
          <w:p>
            <w:pPr>
              <w:pStyle w:val="9"/>
              <w:keepNext w:val="0"/>
              <w:keepLines w:val="0"/>
              <w:widowControl/>
              <w:suppressLineNumbers w:val="0"/>
              <w:spacing w:before="100" w:beforeAutospacing="1" w:after="100" w:afterAutospacing="1"/>
              <w:jc w:val="cente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1500</w:t>
            </w:r>
          </w:p>
        </w:tc>
        <w:tc>
          <w:tcPr>
            <w:tcW w:w="114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c>
          <w:tcPr>
            <w:tcW w:w="1665"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中型普通客车（商务车等）</w:t>
            </w:r>
          </w:p>
        </w:tc>
        <w:tc>
          <w:tcPr>
            <w:tcW w:w="87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p>
        </w:tc>
        <w:tc>
          <w:tcPr>
            <w:tcW w:w="1783"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6000</w:t>
            </w:r>
          </w:p>
        </w:tc>
        <w:tc>
          <w:tcPr>
            <w:tcW w:w="1382" w:type="dxa"/>
            <w:vAlign w:val="center"/>
          </w:tcPr>
          <w:p>
            <w:pPr>
              <w:pStyle w:val="9"/>
              <w:keepNext w:val="0"/>
              <w:keepLines w:val="0"/>
              <w:widowControl/>
              <w:suppressLineNumbers w:val="0"/>
              <w:spacing w:before="100" w:beforeAutospacing="1" w:after="100" w:afterAutospacing="1"/>
              <w:jc w:val="center"/>
              <w:rPr>
                <w:rFonts w:hint="default"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3000</w:t>
            </w:r>
          </w:p>
        </w:tc>
        <w:tc>
          <w:tcPr>
            <w:tcW w:w="1320" w:type="dxa"/>
            <w:vAlign w:val="center"/>
          </w:tcPr>
          <w:p>
            <w:pPr>
              <w:pStyle w:val="9"/>
              <w:keepNext w:val="0"/>
              <w:keepLines w:val="0"/>
              <w:widowControl/>
              <w:suppressLineNumbers w:val="0"/>
              <w:spacing w:before="100" w:beforeAutospacing="1" w:after="100" w:afterAutospacing="1"/>
              <w:jc w:val="cente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2000</w:t>
            </w:r>
          </w:p>
        </w:tc>
        <w:tc>
          <w:tcPr>
            <w:tcW w:w="114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p>
        </w:tc>
        <w:tc>
          <w:tcPr>
            <w:tcW w:w="1665"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大型普通客车（中巴车等）</w:t>
            </w:r>
          </w:p>
        </w:tc>
        <w:tc>
          <w:tcPr>
            <w:tcW w:w="87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p>
        </w:tc>
        <w:tc>
          <w:tcPr>
            <w:tcW w:w="1783"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5500</w:t>
            </w:r>
          </w:p>
        </w:tc>
        <w:tc>
          <w:tcPr>
            <w:tcW w:w="1382"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3000</w:t>
            </w:r>
          </w:p>
        </w:tc>
        <w:tc>
          <w:tcPr>
            <w:tcW w:w="1320" w:type="dxa"/>
            <w:vAlign w:val="center"/>
          </w:tcPr>
          <w:p>
            <w:pPr>
              <w:pStyle w:val="9"/>
              <w:keepNext w:val="0"/>
              <w:keepLines w:val="0"/>
              <w:widowControl/>
              <w:suppressLineNumbers w:val="0"/>
              <w:spacing w:before="100" w:beforeAutospacing="1" w:after="100" w:afterAutospacing="1"/>
              <w:jc w:val="center"/>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2000</w:t>
            </w:r>
          </w:p>
        </w:tc>
        <w:tc>
          <w:tcPr>
            <w:tcW w:w="114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t>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32"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每年</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合计</w:t>
            </w:r>
          </w:p>
        </w:tc>
        <w:tc>
          <w:tcPr>
            <w:tcW w:w="1665" w:type="dxa"/>
            <w:vAlign w:val="center"/>
          </w:tcPr>
          <w:p>
            <w:pPr>
              <w:keepNext w:val="0"/>
              <w:keepLines w:val="0"/>
              <w:widowControl/>
              <w:suppressLineNumbers w:val="0"/>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p>
        </w:tc>
        <w:tc>
          <w:tcPr>
            <w:tcW w:w="87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7</w:t>
            </w:r>
          </w:p>
        </w:tc>
        <w:tc>
          <w:tcPr>
            <w:tcW w:w="1783"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p>
        </w:tc>
        <w:tc>
          <w:tcPr>
            <w:tcW w:w="1382"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p>
        </w:tc>
        <w:tc>
          <w:tcPr>
            <w:tcW w:w="132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p>
        </w:tc>
        <w:tc>
          <w:tcPr>
            <w:tcW w:w="114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82000</w:t>
            </w:r>
          </w:p>
        </w:tc>
      </w:tr>
    </w:tbl>
    <w:p>
      <w:pPr>
        <w:numPr>
          <w:ilvl w:val="0"/>
          <w:numId w:val="0"/>
        </w:numPr>
        <w:spacing w:line="360" w:lineRule="auto"/>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2.1车辆</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维修和保养最高限价表</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 xml:space="preserve">                              货币：元</w:t>
      </w:r>
    </w:p>
    <w:p>
      <w:pPr>
        <w:adjustRightInd w:val="0"/>
        <w:snapToGrid w:val="0"/>
        <w:spacing w:line="360" w:lineRule="auto"/>
        <w:rPr>
          <w:rFonts w:hint="eastAsia" w:asciiTheme="minorEastAsia" w:hAnsiTheme="minorEastAsia" w:eastAsiaTheme="minorEastAsia" w:cstheme="minorEastAsia"/>
          <w:b/>
          <w:bCs w:val="0"/>
          <w:color w:val="000000" w:themeColor="text1"/>
          <w:sz w:val="24"/>
          <w:highlight w:val="none"/>
          <w:lang w:val="en-US" w:eastAsia="zh-CN"/>
          <w14:textFill>
            <w14:solidFill>
              <w14:schemeClr w14:val="tx1"/>
            </w14:solidFill>
          </w14:textFill>
        </w:rPr>
      </w:pPr>
    </w:p>
    <w:p>
      <w:pPr>
        <w:adjustRightInd w:val="0"/>
        <w:snapToGrid w:val="0"/>
        <w:spacing w:line="360" w:lineRule="auto"/>
        <w:rPr>
          <w:rFonts w:hint="eastAsia" w:asciiTheme="minorEastAsia" w:hAnsiTheme="minorEastAsia" w:eastAsiaTheme="minorEastAsia" w:cstheme="minorEastAsia"/>
          <w:b/>
          <w:bCs w:val="0"/>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highlight w:val="none"/>
          <w:lang w:val="en-US" w:eastAsia="zh-CN"/>
          <w14:textFill>
            <w14:solidFill>
              <w14:schemeClr w14:val="tx1"/>
            </w14:solidFill>
          </w14:textFill>
        </w:rPr>
        <w:t>2.2车辆</w:t>
      </w:r>
      <w:r>
        <w:rPr>
          <w:rFonts w:hint="eastAsia" w:asciiTheme="minorEastAsia" w:hAnsiTheme="minorEastAsia" w:eastAsiaTheme="minorEastAsia" w:cstheme="minorEastAsia"/>
          <w:b/>
          <w:bCs w:val="0"/>
          <w:color w:val="000000" w:themeColor="text1"/>
          <w:sz w:val="24"/>
          <w:highlight w:val="none"/>
          <w:lang w:eastAsia="zh-CN"/>
          <w14:textFill>
            <w14:solidFill>
              <w14:schemeClr w14:val="tx1"/>
            </w14:solidFill>
          </w14:textFill>
        </w:rPr>
        <w:t>维修和保养报价要求</w:t>
      </w:r>
    </w:p>
    <w:p>
      <w:pPr>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fldChar w:fldCharType="begin"/>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instrText xml:space="preserve"> = 1 \* GB3 \* MERGEFORMAT </w:instrTex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①</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fldChar w:fldCharType="end"/>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t>以上表格根据上一年度汽车维修企业维修和保养记录结果统计。</w:t>
      </w:r>
    </w:p>
    <w:p>
      <w:pPr>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fldChar w:fldCharType="begin"/>
      </w: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instrText xml:space="preserve"> = 2 \* GB3 \* MERGEFORMAT </w:instrText>
      </w: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②</w:t>
      </w: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fldChar w:fldCharType="end"/>
      </w: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t>供应商按以上价格表中所列材料费、工时费和洗车费用进行折扣报价，形成最终报价结果。各符合条件的供应商对应自己所维修和保养的车辆类型进行报价，所报金额不得大于本项目的预算价，否则视为无效投标。</w:t>
      </w:r>
    </w:p>
    <w:p>
      <w:pPr>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fldChar w:fldCharType="begin"/>
      </w: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instrText xml:space="preserve"> = 3 \* GB3 \* MERGEFORMAT </w:instrText>
      </w: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③</w:t>
      </w: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fldChar w:fldCharType="end"/>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车辆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维修费主要一般由材料费、工时费</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t>洗车费</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组成：</w:t>
      </w:r>
    </w:p>
    <w:p>
      <w:pPr>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材料费＝材料进货价＋材料管理费，材料管理费应包含材料的采购、装卸、运输、保管、损耗、税金、利润等费用；</w:t>
      </w:r>
    </w:p>
    <w:p>
      <w:pPr>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工时费＝定额工时×工时单价；</w:t>
      </w:r>
    </w:p>
    <w:p>
      <w:pPr>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t>洗车费＝车辆×洗车单价</w:t>
      </w:r>
    </w:p>
    <w:p>
      <w:pPr>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fldChar w:fldCharType="begin"/>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instrText xml:space="preserve"> = 4 \* GB3 \* MERGEFORMAT </w:instrTex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④</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fldChar w:fldCharType="end"/>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采购人将不定期对车辆维修市场价进行调研，若发现中标人的产品下浮前价格高于市场正常价，或配品配件价格高于市场合理价，则有权取消合同。</w:t>
      </w:r>
    </w:p>
    <w:p>
      <w:pPr>
        <w:pStyle w:val="9"/>
        <w:widowControl/>
        <w:numPr>
          <w:ilvl w:val="0"/>
          <w:numId w:val="6"/>
        </w:numPr>
        <w:spacing w:beforeAutospacing="0" w:afterAutospacing="0" w:line="34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技术和服务要求</w:t>
      </w:r>
    </w:p>
    <w:p>
      <w:pPr>
        <w:numPr>
          <w:ilvl w:val="0"/>
          <w:numId w:val="7"/>
        </w:numPr>
        <w:adjustRightInd w:val="0"/>
        <w:snapToGrid w:val="0"/>
        <w:spacing w:line="360" w:lineRule="auto"/>
        <w:ind w:hanging="245"/>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bookmarkStart w:id="0" w:name="_Toc153274894"/>
      <w:bookmarkStart w:id="1" w:name="_Toc198722696"/>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.对维修企业的基本要求</w:t>
      </w:r>
    </w:p>
    <w:p>
      <w:pPr>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1.1维修企业的基本要求：</w:t>
      </w:r>
    </w:p>
    <w:p>
      <w:pPr>
        <w:tabs>
          <w:tab w:val="left" w:pos="720"/>
        </w:tabs>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1.1.1维修配件管理。建立配件采购登记制度，包括购买日期、供应商名称、地址、产品名称及规格型号等，配件摆放整齐有序。更换的旧配件，应交送修方处理（或200元以上的保存半年，以备检查），并有登记记录。</w:t>
      </w:r>
    </w:p>
    <w:p>
      <w:pPr>
        <w:tabs>
          <w:tab w:val="left" w:pos="720"/>
        </w:tabs>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1.1.2维修车辆管理。必须对车辆维修实行计算机管理。要通过计算机对车辆的基本情况、维修档案、汽车配件材料、计费结算等进行管理。车辆维修档案包括主要包括：维修合同、报修单、进厂检查、过程记录、竣工检验、材料明细清单等。</w:t>
      </w:r>
    </w:p>
    <w:p>
      <w:pPr>
        <w:tabs>
          <w:tab w:val="left" w:pos="720"/>
        </w:tabs>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1.1.3提供服务专线。实行全天候24小时无假日全方位的急修、救助、咨询等服务，开通24小时热线服务电话、施救电话、投诉电话；在泉州中心市区内，车辆途中出现故障无法送至修理厂时，</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成交供应商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应在接到通知及时赶到故障地点，排除故障，如无法排除需回厂修理的，</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成交供应商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应负责将车免费施救回厂后进行修复。</w:t>
      </w:r>
    </w:p>
    <w:p>
      <w:pPr>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1.1.4维修现场管理。开设专用通道，负责公务用车维修的接待及具体维修事务，允许送修人员进入作业场所查看、监督维修过程；作业流程明确，衔接有序，责任落实，效率较高；物品摆放整齐有序，作业区域整洁，消防设施齐全有效；严禁在维修场所经营与车辆维修无任何相关的物品。</w:t>
      </w:r>
    </w:p>
    <w:p>
      <w:pPr>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1.2定点维修企业设有分厂的，分厂应在中标所辖区域范围内，跨区设立的分厂不得承修公务用车。违者将被取消定点维修资格。</w:t>
      </w:r>
    </w:p>
    <w:p>
      <w:pPr>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1.3履行服务承诺。</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成交供应商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与送修单位签订维修合同，应把投标承诺及出现违反承诺所承担的责任作为维修合同的附件，以便送修单位和监管部门的事中监督、管理，事后考核、检查。</w:t>
      </w:r>
    </w:p>
    <w:p>
      <w:pPr>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1.4车辆维修服务须遵守行业管理规范的要求，符合招标书的要求和</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投标书中的各项承诺,对公务用车应确保优质服务、优先服务。</w:t>
      </w:r>
    </w:p>
    <w:p>
      <w:pPr>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1.5</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维修经营场所不低于2000㎡，维修经营场限泉州中心市区内。</w:t>
      </w:r>
    </w:p>
    <w:p>
      <w:pPr>
        <w:tabs>
          <w:tab w:val="left" w:pos="540"/>
        </w:tabs>
        <w:adjustRightInd w:val="0"/>
        <w:snapToGrid w:val="0"/>
        <w:spacing w:line="360" w:lineRule="auto"/>
        <w:ind w:firstLine="236" w:firstLineChars="98"/>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bookmarkStart w:id="2" w:name="_Toc331949052"/>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2.维修质量承诺及服务要求</w:t>
      </w:r>
      <w:bookmarkEnd w:id="2"/>
    </w:p>
    <w:p>
      <w:pPr>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2.1按照福建省运输管理局《关于印发〈福建省机动车维修行业管理工作规范〉的通知》（闽运管车辆〔2006〕6号）的规定，自维修车辆竣工出厂之日起，应提供保修期，保修期按不低于行业规定的标准执行，质量保证期中行驶里程和日期指标，以先达到者为准。</w:t>
      </w:r>
    </w:p>
    <w:p>
      <w:pPr>
        <w:tabs>
          <w:tab w:val="left" w:pos="540"/>
        </w:tabs>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2.2质量保证期内发生因维修质量引发的故障，维修厂家应负责免费返修。严格执行汽车维修技术检验制度，车辆返修率控制在5％以内。但在保修期内就同一个报修项目次数达到3次（含第一次维修）返修未能彻底修复的，由送修单位提出，采购单位组织公务用车定点维修鉴定专家组进行鉴定、裁决，需移交其他定点维修企业（包括4S店）维修的，所产生维修费用由原定点维修企业承担，累计出现上述情况3次，则取消定点维修资格。</w:t>
      </w:r>
    </w:p>
    <w:p>
      <w:pPr>
        <w:adjustRightInd w:val="0"/>
        <w:snapToGrid w:val="0"/>
        <w:spacing w:line="360" w:lineRule="auto"/>
        <w:ind w:firstLine="240" w:firstLineChars="1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2.3维修厂家必须严格按照行业管理工作规范的要求和合同约定为送修单位提供汽车维修优质服务，做到“维修及时、质量优良、价格优惠”，不得无故拖延或拒绝维修送修车辆。对送修车辆做到随到随修，急用急修，小修不过夜，总成大修不超过5天、全车大修不超过15天完成；送修单位有完工时间要求的，应最大限度满足。</w:t>
      </w:r>
    </w:p>
    <w:p>
      <w:pPr>
        <w:spacing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车辆定点维修厂家必须认真遵守国家法律、法规和行业规范，遵守职业道德，诚信经营，坚决杜绝弄虚作假、假冒伪劣、虚报费用等  不正当竞争行为。</w:t>
      </w:r>
      <w:bookmarkEnd w:id="0"/>
      <w:bookmarkEnd w:id="1"/>
    </w:p>
    <w:p>
      <w:pPr>
        <w:spacing w:line="360" w:lineRule="auto"/>
        <w:ind w:firstLine="241" w:firstLineChars="10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3、售后服务及质量保证要求</w:t>
      </w:r>
    </w:p>
    <w:p>
      <w:pPr>
        <w:spacing w:line="360" w:lineRule="auto"/>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3.1定点维修厂家应对所提供的汽车零配件和维修项目的质量负责，汽车零配件应为正厂零配件，并在质量保证期内包换包修，做到优质服务，优先服务。</w:t>
      </w:r>
    </w:p>
    <w:p>
      <w:pPr>
        <w:spacing w:line="360" w:lineRule="auto"/>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3.2泉州市区，若送修单位车辆在途中出现故障无法送至修理厂时，定点维修厂家应在接到通知后1小时内赶到故障地点排除故障，如一时无法排除，需回厂修理，中标人应负责将车免费送厂维修。</w:t>
      </w:r>
    </w:p>
    <w:p>
      <w:pPr>
        <w:spacing w:line="360" w:lineRule="auto"/>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3.3送修时驾驶员需持其单位签发的《公务用车送修单》，每次维修后送修单位都要负责验收并经双方签字认可，《车辆定点维修费用结算单》（格式自拟）需注明维修时间、车号、项目、收费标准及金额等。</w:t>
      </w:r>
    </w:p>
    <w:p>
      <w:pPr>
        <w:spacing w:line="360" w:lineRule="auto"/>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3.6定点维修厂家必须自觉接受采购单位的监督和检查。在公务用车定点维修中存在下列情形之一的，终止与其签订的定点维修合同，并建议区公管办在3年内不准其参加区公务用车定点维修项目的投标。</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（1）无正当理由拒修的；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（2）未按《送修单》所列项目承修经核实3次以上的；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（3）保修期内因维修质量问题拒绝免费返修的；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（4）弄虚作假虚报维修费用的；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（5）使用假冒伪劣零配件的；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（6）零配件价格高于市场同类产品均价的或者高于同品牌车4S店的零售价格的；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（7）存在“以换代修”、“维修不彻底”经核实3次以上的；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（8）存在不负责任更换零部件以获取高额利润的；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（9）年度考核不合格的；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（10）擅自提高车辆维修价格的；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（11）采用不正当手段竞争的；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（12）服务态度差，造成恶劣影响的；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（13）一年内被有效投诉3次以上的；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（14）拒绝接受采购单位的监督和检查的；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（15）未按协议签订的服务承诺要求为送修单位提供优质服务的；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（16）未按时报送《统计表》、《结算单》3次以上的；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（17）在合同执行期间，被有关行业主管部门降低资质的；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（18）发生因维修质量问题引起人员伤亡事故的；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（19）让非定点维修厂家挂靠承修采购单位公务用车的；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（20）与送修单位相关人员或第三方监理单位人员串通，虚假修车或虚报维修项目或串通抬高维修价格，谋取不正当利益的；  </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（21） 拒绝接受采购人指定的第三方监理单位对其服务质量、价格的监督、审核的；</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（22）其他违反法律、法规和定点维修协议事项的。</w:t>
      </w:r>
    </w:p>
    <w:p>
      <w:pPr>
        <w:spacing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必须指定专人负责公务用车定点维修招标事宜，配合采购单位相关人员的考核与管理。</w:t>
      </w:r>
    </w:p>
    <w:p>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三、包1商务条件</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1、交付地点：</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泉州市丰泽区东海大街398号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期限：20</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19年12月</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至202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3、交付条件：按合同执行。</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4、是否收取履约保证金：是。说明：</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在签订合同前应向采购人</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缴纳</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履约保证金人民币</w:t>
      </w:r>
      <w:r>
        <w:rPr>
          <w:rFonts w:hint="eastAsia" w:asciiTheme="minorEastAsia" w:hAnsiTheme="minorEastAsia" w:eastAsiaTheme="minorEastAsia" w:cstheme="minorEastAsia"/>
          <w:b/>
          <w:color w:val="000000" w:themeColor="text1"/>
          <w:sz w:val="24"/>
          <w:szCs w:val="24"/>
          <w:highlight w:val="none"/>
          <w:u w:val="single"/>
          <w:lang w:val="en-US" w:eastAsia="zh-CN"/>
          <w14:textFill>
            <w14:solidFill>
              <w14:schemeClr w14:val="tx1"/>
            </w14:solidFill>
          </w14:textFill>
        </w:rPr>
        <w:t>3000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元整。该履约保证金在成交供应商</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期满后无服务质量问题</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一次性无息退还。</w:t>
      </w:r>
    </w:p>
    <w:p>
      <w:pPr>
        <w:pStyle w:val="9"/>
        <w:widowControl/>
        <w:spacing w:beforeAutospacing="0"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5、是否邀请投标人参与验收：否</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6、验收方式数据表格</w:t>
      </w:r>
    </w:p>
    <w:tbl>
      <w:tblPr>
        <w:tblStyle w:val="10"/>
        <w:tblW w:w="8623"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69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验收期次</w:t>
            </w:r>
          </w:p>
        </w:tc>
        <w:tc>
          <w:tcPr>
            <w:tcW w:w="6956" w:type="dxa"/>
            <w:vAlign w:val="center"/>
          </w:tcPr>
          <w:p>
            <w:pPr>
              <w:widowControl/>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w:t>
            </w:r>
          </w:p>
        </w:tc>
        <w:tc>
          <w:tcPr>
            <w:tcW w:w="6956" w:type="dxa"/>
            <w:vAlign w:val="center"/>
          </w:tcPr>
          <w:p>
            <w:pPr>
              <w:spacing w:line="360" w:lineRule="auto"/>
              <w:ind w:right="172" w:rightChars="82"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按合同要求验收</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tc>
      </w:tr>
    </w:tbl>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7、支付方式数据表格</w:t>
      </w:r>
    </w:p>
    <w:tbl>
      <w:tblPr>
        <w:tblStyle w:val="10"/>
        <w:tblW w:w="8625"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667"/>
        <w:gridCol w:w="5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支付期次</w:t>
            </w:r>
          </w:p>
        </w:tc>
        <w:tc>
          <w:tcPr>
            <w:tcW w:w="1667" w:type="dxa"/>
            <w:vAlign w:val="center"/>
          </w:tcPr>
          <w:p>
            <w:pPr>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支付比例(%)</w:t>
            </w:r>
          </w:p>
        </w:tc>
        <w:tc>
          <w:tcPr>
            <w:tcW w:w="5291" w:type="dxa"/>
            <w:vAlign w:val="center"/>
          </w:tcPr>
          <w:p>
            <w:pPr>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4" w:hRule="atLeast"/>
          <w:tblCellSpacing w:w="0" w:type="dxa"/>
        </w:trPr>
        <w:tc>
          <w:tcPr>
            <w:tcW w:w="1667" w:type="dxa"/>
            <w:vAlign w:val="center"/>
          </w:tcPr>
          <w:p>
            <w:pPr>
              <w:widowControl/>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w:t>
            </w:r>
          </w:p>
        </w:tc>
        <w:tc>
          <w:tcPr>
            <w:tcW w:w="1667" w:type="dxa"/>
            <w:vAlign w:val="center"/>
          </w:tcPr>
          <w:p>
            <w:pPr>
              <w:widowControl/>
              <w:jc w:val="cente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100</w:t>
            </w:r>
          </w:p>
        </w:tc>
        <w:tc>
          <w:tcPr>
            <w:tcW w:w="5291" w:type="dxa"/>
            <w:vAlign w:val="center"/>
          </w:tcPr>
          <w:p>
            <w:pPr>
              <w:spacing w:line="360" w:lineRule="auto"/>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结算的维修工时、零配件价格须经送修单位审核确认。其中维修工时及价格的标准不得高于市场上同类车型的维修工时及价格平均水平，不得高于同品牌4S店的维修工时及价格标准；零配件价格不得高于市场上同产品的价格的平均水平，不得高于同品牌4S店的销售价格。</w:t>
            </w:r>
          </w:p>
          <w:p>
            <w:pPr>
              <w:spacing w:line="360" w:lineRule="auto"/>
              <w:ind w:firstLine="240" w:firstLineChars="1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2、送修单位在认真审核《公务用车定点维修费用结算单》并经单位主要领导审批后支付维修费用，维修费用每</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结算一次。</w:t>
            </w:r>
          </w:p>
        </w:tc>
      </w:tr>
    </w:tbl>
    <w:p>
      <w:pPr>
        <w:pStyle w:val="9"/>
        <w:widowControl/>
        <w:spacing w:before="75" w:beforeAutospacing="0" w:after="75" w:afterAutospacing="0" w:line="340" w:lineRule="exact"/>
        <w:rPr>
          <w:rFonts w:hint="eastAsia" w:asciiTheme="minorEastAsia" w:hAnsiTheme="minorEastAsia" w:eastAsiaTheme="minorEastAsia" w:cstheme="minorEastAsia"/>
          <w:b/>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8、供应商的工作范围</w:t>
      </w:r>
    </w:p>
    <w:p>
      <w:pPr>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8.1供应商拟提供维修汽车配件须为全新未使用的合格产品。设备及其辅助装置的铭牌、使用指示、警告指示应以中文或英文及易懂的通用符号来表示，应能够准确无误地表示设备的型号、规格、制造商等内容。</w:t>
      </w:r>
    </w:p>
    <w:p>
      <w:pPr>
        <w:pStyle w:val="9"/>
        <w:widowControl/>
        <w:spacing w:before="75" w:beforeAutospacing="0" w:after="75" w:afterAutospacing="0" w:line="340" w:lineRule="exact"/>
        <w:rPr>
          <w:rFonts w:hint="eastAsia" w:asciiTheme="minorEastAsia" w:hAnsiTheme="minorEastAsia" w:eastAsiaTheme="minorEastAsia" w:cstheme="minorEastAsia"/>
          <w:b/>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9</w:t>
      </w:r>
      <w:r>
        <w:rPr>
          <w:rFonts w:hint="eastAsia" w:asciiTheme="minorEastAsia" w:hAnsiTheme="minorEastAsia" w:eastAsiaTheme="minorEastAsia" w:cstheme="minorEastAsia"/>
          <w:b/>
          <w:bCs/>
          <w:color w:val="000000" w:themeColor="text1"/>
          <w:highlight w:val="none"/>
          <w14:textFill>
            <w14:solidFill>
              <w14:schemeClr w14:val="tx1"/>
            </w14:solidFill>
          </w14:textFill>
        </w:rPr>
        <w:t>、其他要求</w:t>
      </w:r>
    </w:p>
    <w:p>
      <w:pPr>
        <w:pStyle w:val="9"/>
        <w:widowControl/>
        <w:spacing w:before="75" w:beforeAutospacing="0" w:after="75" w:afterAutospacing="0" w:line="34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highlight w:val="none"/>
          <w14:textFill>
            <w14:solidFill>
              <w14:schemeClr w14:val="tx1"/>
            </w14:solidFill>
          </w14:textFill>
        </w:rPr>
        <w:t>.1各供应商应根据竞争性谈判文件的技术要求条款，在响应文件中详细说明所提供货物的技术规格和参数。</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本项目为整体招标采购项目，</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必须对所有内容进行投标响应及报价。</w:t>
      </w:r>
    </w:p>
    <w:p>
      <w:pPr>
        <w:pStyle w:val="9"/>
        <w:widowControl/>
        <w:spacing w:before="75" w:beforeAutospacing="0" w:after="75" w:afterAutospacing="0" w:line="34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highlight w:val="none"/>
          <w14:textFill>
            <w14:solidFill>
              <w14:schemeClr w14:val="tx1"/>
            </w14:solidFill>
          </w14:textFill>
        </w:rPr>
        <w:t>.2上述招标规格及要求中所发生的一切费用均包含在投标报价中。</w:t>
      </w:r>
    </w:p>
    <w:p>
      <w:pPr>
        <w:pStyle w:val="9"/>
        <w:widowControl/>
        <w:spacing w:before="75" w:beforeAutospacing="0" w:after="75" w:afterAutospacing="0" w:line="340" w:lineRule="exact"/>
        <w:rPr>
          <w:rFonts w:hint="eastAsia" w:asciiTheme="minorEastAsia" w:hAnsiTheme="minorEastAsia" w:eastAsiaTheme="minorEastAsia" w:cstheme="minorEastAsia"/>
          <w:b/>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highlight w:val="none"/>
          <w14:textFill>
            <w14:solidFill>
              <w14:schemeClr w14:val="tx1"/>
            </w14:solidFill>
          </w14:textFill>
        </w:rPr>
        <w:t>.3各供应商无论中标与否，所有围绕投标的费用均由投标单位自行承担。</w:t>
      </w:r>
    </w:p>
    <w:p>
      <w:pPr>
        <w:pStyle w:val="9"/>
        <w:widowControl/>
        <w:spacing w:before="75" w:beforeAutospacing="0" w:after="75" w:afterAutospacing="0"/>
        <w:rPr>
          <w:rFonts w:hint="eastAsia" w:asciiTheme="minorEastAsia" w:hAnsiTheme="minorEastAsia" w:eastAsiaTheme="minorEastAsia" w:cstheme="minorEastAsia"/>
          <w:b/>
          <w:bCs/>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0</w:t>
      </w:r>
      <w:r>
        <w:rPr>
          <w:rFonts w:hint="eastAsia" w:asciiTheme="minorEastAsia" w:hAnsiTheme="minorEastAsia" w:eastAsiaTheme="minorEastAsia" w:cstheme="minorEastAsia"/>
          <w:b/>
          <w:bCs/>
          <w:color w:val="000000" w:themeColor="text1"/>
          <w:highlight w:val="none"/>
          <w14:textFill>
            <w14:solidFill>
              <w14:schemeClr w14:val="tx1"/>
            </w14:solidFill>
          </w14:textFill>
        </w:rPr>
        <w:t>、专利说明</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highlight w:val="none"/>
          <w14:textFill>
            <w14:solidFill>
              <w14:schemeClr w14:val="tx1"/>
            </w14:solidFill>
          </w14:textFill>
        </w:rPr>
        <w:t>.1供应商应对投标货物或服务的知识产权。供应商就投标货物或服务，负有保证第三人不得向招标人主张任何权利的义务，并应承担由于投标货物或服务的知识产权所引发的一切不利法律后果。</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highlight w:val="none"/>
          <w14:textFill>
            <w14:solidFill>
              <w14:schemeClr w14:val="tx1"/>
            </w14:solidFill>
          </w14:textFill>
        </w:rPr>
        <w:t>.2成交供应商应保证福建景鑫招标有限公司和采购人不受到第三方关于侵犯专利权的指控，任何第三方如果提出指控，成交供应商应与第三方交涉，承担可能发生的一切法律责任、费用和后果，并赔偿福建景鑫招标有限公司和采购人的损失。</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四、其他事项</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1、供应商需提供中小企业声明函，明确属大、中、小、微四个企业类型。</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第四章  合同主要条款及格式</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编制说明</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1、签订合同应遵守《中华人民共和国政府采购法》、《中华人民共和国合同法》。</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3.本章节所附的合同主要条款及格式为参考文本，如果因为项目实际特点不能适用，则可由甲乙双方在合同签订阶段可通过友好协商进行约定。</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甲方：（采购人全称）</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乙方：（成交供应商全称）</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根据项目编号为</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的（填写“项目名称”）项目（以下简称：“本项目”）的谈判结果，乙方为成交供应商。现经甲乙双方友好协商，就以下事项达成一致并签订本合同：</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1、下列合同文件是构成本合同不可分割的部分：</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1.1合同条款；</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1.2谈判文件、乙方的响应文件；</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1.3其他文件或材料：□无。□（根据实际情况填写需要增加的内容）。</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2、合同标的</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（根据实际情况填写，可以是表格或文字描述）。</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3、合同总金额</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3.1合同总金额为人民币大写：              元（￥              ）。</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4、合同标的交付时间、地点和条件</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4.1交付时间：                     ；</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4.2交付地点：                     ；</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4.3交付条件：                     。</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5、合同标的应符合谈判文件、乙方响应文件的规定或约定，具体如下：</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（根据实际情况填写，可以是表格或文字描述）。</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6、验收</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6.1验收应按照谈判文件、乙方响应文件的规定或约定进行，具体如下：</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（根据实际情况填写，可以是表格或文字描述）。</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6.2本项目是否邀请其他供应商参与验收：</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□不邀请。□邀请，具体如下：（按照谈判文件规定填写）。</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7、合同款项的支付应按照谈判文件的规定进行，具体如下：</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（根据实际情况填写，可以是表格或文字描述，包括一次性支付或分期支付等）。</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8、履约保证金</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□无。□有，具体如下：（按照谈判文件规定填写）。</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9、合同有效期</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（根据实际情况填写，可以是表格或文字描述）。</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10、违约责任</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（根据实际情况填写，可以是表格或文字描述）。</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11、知识产权</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12、解决争议的方法</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12.1甲、乙双方协商解决。</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12.2若协商解决不成，则通过下列途径之一解决：</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□提交仲裁委员会仲裁，具体如下：（根据实际情况填写）。</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□向人民法院提起诉讼，具体如下：（根据实际情况填写）。</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13、不可抗力</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13.2本合同中的不可抗力指不能预见、不能避免、不能克服的客观情况，包括但不限于：自然灾害如地震、台风、洪水、火灾及政府行为、法律规定或其适用的变化或其他任何无法预见、避免或控制的事件。</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14、合同条款</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（根据实际情况填写）。</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15、其他约定</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15.1合同文件与本合同具有同等法律效力。</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15.2本合同未尽事宜，双方可另行补充。</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15.3本合同自签订之日起生效。</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15.4本合同一式（填写具体份数）份，经双方授权代表签字并盖章后生效。甲方、乙方各执（填写具体份数）份，送（填写需要备案的监管部门的全称）备案（填写具体份数）份，具有同等效力。</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15.5其他：□无。□（根据实际情况填写需要增加的内容）。</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（以下无正文）</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24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甲方：                 乙方：</w:t>
      </w:r>
    </w:p>
    <w:p>
      <w:pPr>
        <w:pStyle w:val="9"/>
        <w:widowControl/>
        <w:spacing w:before="75" w:beforeAutospacing="0" w:after="24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住所：                 住所：</w:t>
      </w:r>
    </w:p>
    <w:p>
      <w:pPr>
        <w:pStyle w:val="9"/>
        <w:widowControl/>
        <w:spacing w:before="75" w:beforeAutospacing="0" w:after="24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单位负责人：              单位负责人：</w:t>
      </w:r>
    </w:p>
    <w:p>
      <w:pPr>
        <w:pStyle w:val="9"/>
        <w:widowControl/>
        <w:spacing w:before="75" w:beforeAutospacing="0" w:after="24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委托代理人：               委托代理人：</w:t>
      </w:r>
    </w:p>
    <w:p>
      <w:pPr>
        <w:pStyle w:val="9"/>
        <w:widowControl/>
        <w:spacing w:before="75" w:beforeAutospacing="0" w:after="24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联系方法：                 联系方法：</w:t>
      </w:r>
    </w:p>
    <w:p>
      <w:pPr>
        <w:pStyle w:val="9"/>
        <w:widowControl/>
        <w:spacing w:before="75" w:beforeAutospacing="0" w:after="24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开户银行：                开户银行：</w:t>
      </w:r>
    </w:p>
    <w:p>
      <w:pPr>
        <w:pStyle w:val="9"/>
        <w:widowControl/>
        <w:spacing w:before="75" w:beforeAutospacing="0" w:after="24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账号：                  账号：</w:t>
      </w:r>
    </w:p>
    <w:p>
      <w:pPr>
        <w:pStyle w:val="9"/>
        <w:widowControl/>
        <w:spacing w:before="75" w:beforeAutospacing="0" w:after="24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24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24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24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签订地点：                </w:t>
      </w:r>
    </w:p>
    <w:p>
      <w:pPr>
        <w:pStyle w:val="9"/>
        <w:widowControl/>
        <w:spacing w:before="75" w:beforeAutospacing="0" w:after="240"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签订日期：    年   月   日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第五章  首次响应文件格式</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编制说明</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泉州师范学院采购项目竞争性谈判</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响应文件</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（首次）</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ind w:firstLine="126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项目名称：               </w:t>
      </w:r>
    </w:p>
    <w:p>
      <w:pPr>
        <w:pStyle w:val="9"/>
        <w:widowControl/>
        <w:spacing w:before="75" w:beforeAutospacing="0" w:after="75" w:afterAutospacing="0"/>
        <w:ind w:firstLine="126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项目编号：               </w:t>
      </w:r>
    </w:p>
    <w:p>
      <w:pPr>
        <w:pStyle w:val="9"/>
        <w:widowControl/>
        <w:spacing w:before="75" w:beforeAutospacing="0" w:after="75" w:afterAutospacing="0"/>
        <w:ind w:firstLine="126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合同包:                  </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供应商名称 ：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日    期 ：               </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目  录</w:t>
      </w:r>
    </w:p>
    <w:p>
      <w:pPr>
        <w:pStyle w:val="9"/>
        <w:widowControl/>
        <w:spacing w:before="75" w:beforeAutospacing="0" w:after="75" w:afterAutospacing="0" w:line="46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6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附件1：谈判响应声明</w:t>
      </w:r>
    </w:p>
    <w:p>
      <w:pPr>
        <w:pStyle w:val="9"/>
        <w:widowControl/>
        <w:spacing w:before="75" w:beforeAutospacing="0" w:after="75" w:afterAutospacing="0" w:line="46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附件2：报价一览表（含详细报价书）</w:t>
      </w:r>
    </w:p>
    <w:p>
      <w:pPr>
        <w:pStyle w:val="9"/>
        <w:widowControl/>
        <w:spacing w:before="75" w:beforeAutospacing="0" w:after="75" w:afterAutospacing="0" w:line="46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附件3：资格证明文件</w:t>
      </w:r>
    </w:p>
    <w:p>
      <w:pPr>
        <w:pStyle w:val="9"/>
        <w:widowControl/>
        <w:spacing w:before="75" w:beforeAutospacing="0" w:after="75" w:afterAutospacing="0" w:line="46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附件4：谈判保证金凭证</w:t>
      </w:r>
    </w:p>
    <w:p>
      <w:pPr>
        <w:pStyle w:val="9"/>
        <w:widowControl/>
        <w:spacing w:before="75" w:beforeAutospacing="0" w:after="75" w:afterAutospacing="0" w:line="46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附件5：技术、服务和商务响应表</w:t>
      </w:r>
    </w:p>
    <w:p>
      <w:pPr>
        <w:pStyle w:val="9"/>
        <w:widowControl/>
        <w:spacing w:before="75" w:beforeAutospacing="0" w:after="75" w:afterAutospacing="0" w:line="46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附件6：相关技术、商务、服务响应承诺及资料</w:t>
      </w:r>
    </w:p>
    <w:p>
      <w:pPr>
        <w:pStyle w:val="9"/>
        <w:widowControl/>
        <w:spacing w:before="75" w:beforeAutospacing="0" w:after="75" w:afterAutospacing="0" w:line="46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附件7：供应商提交符合政府采购政策的证明材料</w:t>
      </w:r>
    </w:p>
    <w:p>
      <w:pPr>
        <w:pStyle w:val="9"/>
        <w:widowControl/>
        <w:spacing w:before="75" w:beforeAutospacing="0" w:after="75" w:afterAutospacing="0" w:line="46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附件8：要求作为响应文件组成部分的其他内容（若有）</w:t>
      </w:r>
    </w:p>
    <w:p>
      <w:pPr>
        <w:pStyle w:val="9"/>
        <w:widowControl/>
        <w:spacing w:before="75" w:beforeAutospacing="0" w:after="75" w:afterAutospacing="0" w:line="46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附件1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谈判响应声明</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致：(采购人或采购代理机构)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（1）谈判响应声明</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（2）报价一览表（含详细报价书）</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（3）资格证明文件</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（4）谈判保证金凭证</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（5）技术、服务和商务响应表</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（6）相关技术、商务、服务响应承诺及资料</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（7）供应商提交符合政府采购政策的证明材料</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（8）按照谈判文件规定，要求作为响应文件组成部分的其他内容（若有）</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2.据此函，我方宣布响应承诺如下：</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2.4我方已经按照谈判文件要求提交谈判保证金。我方如果发生任何竞争性谈判文件中所述不予退还谈判保证金的情况，则我方的谈判保证金将被贵方不予退还，我方对此无异议。</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2.5我方愿意向贵方提供任何与本项目谈判采购有关的数据或资料。若贵方需要，我方愿意提供我方作出的一切承诺的证明材料。</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通信地址：</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邮编：      传真号：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联系电话（固定电话和移动电话）：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 ：</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供应商代表电子信箱：</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jc w:val="both"/>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9"/>
        <w:widowControl/>
        <w:spacing w:before="75" w:beforeAutospacing="0" w:after="75" w:afterAutospacing="0"/>
        <w:jc w:val="both"/>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both"/>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both"/>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both"/>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附件2</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        </w:t>
      </w:r>
      <w:r>
        <w:rPr>
          <w:rStyle w:val="13"/>
          <w:rFonts w:hint="eastAsia" w:asciiTheme="minorEastAsia" w:hAnsiTheme="minorEastAsia" w:eastAsiaTheme="minorEastAsia" w:cstheme="minorEastAsia"/>
          <w:color w:val="000000" w:themeColor="text1"/>
          <w:sz w:val="36"/>
          <w:szCs w:val="36"/>
          <w:highlight w:val="none"/>
          <w14:textFill>
            <w14:solidFill>
              <w14:schemeClr w14:val="tx1"/>
            </w14:solidFill>
          </w14:textFill>
        </w:rPr>
        <w:t>报价一览表</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供应商名称：（全称加盖单位公章）项目编号∶          货币单位：元人民币</w:t>
      </w:r>
    </w:p>
    <w:tbl>
      <w:tblPr>
        <w:tblStyle w:val="11"/>
        <w:tblpPr w:leftFromText="180" w:rightFromText="180" w:vertAnchor="text" w:horzAnchor="page" w:tblpX="1278" w:tblpY="751"/>
        <w:tblOverlap w:val="never"/>
        <w:tblW w:w="9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545"/>
        <w:gridCol w:w="780"/>
        <w:gridCol w:w="1245"/>
        <w:gridCol w:w="1020"/>
        <w:gridCol w:w="833"/>
        <w:gridCol w:w="834"/>
        <w:gridCol w:w="928"/>
        <w:gridCol w:w="78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序号</w:t>
            </w:r>
          </w:p>
        </w:tc>
        <w:tc>
          <w:tcPr>
            <w:tcW w:w="1545"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车辆类型</w:t>
            </w:r>
          </w:p>
        </w:tc>
        <w:tc>
          <w:tcPr>
            <w:tcW w:w="78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数量（辆）</w:t>
            </w:r>
          </w:p>
        </w:tc>
        <w:tc>
          <w:tcPr>
            <w:tcW w:w="1245"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①材料：维修和保养价格（元/辆）</w:t>
            </w:r>
          </w:p>
        </w:tc>
        <w:tc>
          <w:tcPr>
            <w:tcW w:w="102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①材料折扣</w:t>
            </w:r>
          </w:p>
        </w:tc>
        <w:tc>
          <w:tcPr>
            <w:tcW w:w="833"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②工时</w:t>
            </w: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（元/辆.年）</w:t>
            </w:r>
          </w:p>
        </w:tc>
        <w:tc>
          <w:tcPr>
            <w:tcW w:w="834"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②工时折扣</w:t>
            </w:r>
          </w:p>
        </w:tc>
        <w:tc>
          <w:tcPr>
            <w:tcW w:w="928"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③洗车</w:t>
            </w: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（元/辆.年）</w:t>
            </w:r>
          </w:p>
        </w:tc>
        <w:tc>
          <w:tcPr>
            <w:tcW w:w="78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③洗车折扣</w:t>
            </w:r>
          </w:p>
        </w:tc>
        <w:tc>
          <w:tcPr>
            <w:tcW w:w="84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维修费用合计/年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1545"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小型普通客车（轿车等）</w:t>
            </w:r>
          </w:p>
        </w:tc>
        <w:tc>
          <w:tcPr>
            <w:tcW w:w="78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p>
        </w:tc>
        <w:tc>
          <w:tcPr>
            <w:tcW w:w="1245"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p>
        </w:tc>
        <w:tc>
          <w:tcPr>
            <w:tcW w:w="102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t>%</w:t>
            </w:r>
          </w:p>
        </w:tc>
        <w:tc>
          <w:tcPr>
            <w:tcW w:w="833"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p>
        </w:tc>
        <w:tc>
          <w:tcPr>
            <w:tcW w:w="834"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0"/>
                <w:sz w:val="24"/>
                <w:szCs w:val="24"/>
                <w:highlight w:val="none"/>
                <w:vertAlign w:val="baseli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t>%</w:t>
            </w:r>
          </w:p>
        </w:tc>
        <w:tc>
          <w:tcPr>
            <w:tcW w:w="928"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p>
        </w:tc>
        <w:tc>
          <w:tcPr>
            <w:tcW w:w="78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t>%</w:t>
            </w:r>
          </w:p>
        </w:tc>
        <w:tc>
          <w:tcPr>
            <w:tcW w:w="84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99"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c>
          <w:tcPr>
            <w:tcW w:w="1545"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中型普通客车（商务车等）</w:t>
            </w:r>
          </w:p>
        </w:tc>
        <w:tc>
          <w:tcPr>
            <w:tcW w:w="78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p>
        </w:tc>
        <w:tc>
          <w:tcPr>
            <w:tcW w:w="1245"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p>
        </w:tc>
        <w:tc>
          <w:tcPr>
            <w:tcW w:w="102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t>%</w:t>
            </w:r>
          </w:p>
        </w:tc>
        <w:tc>
          <w:tcPr>
            <w:tcW w:w="833"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p>
        </w:tc>
        <w:tc>
          <w:tcPr>
            <w:tcW w:w="834"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0"/>
                <w:sz w:val="24"/>
                <w:szCs w:val="24"/>
                <w:highlight w:val="none"/>
                <w:vertAlign w:val="baseli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t>%</w:t>
            </w:r>
          </w:p>
        </w:tc>
        <w:tc>
          <w:tcPr>
            <w:tcW w:w="928"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p>
        </w:tc>
        <w:tc>
          <w:tcPr>
            <w:tcW w:w="78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t>%</w:t>
            </w:r>
          </w:p>
        </w:tc>
        <w:tc>
          <w:tcPr>
            <w:tcW w:w="84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p>
        </w:tc>
        <w:tc>
          <w:tcPr>
            <w:tcW w:w="1545"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大型普通客车（中巴车等）</w:t>
            </w:r>
          </w:p>
        </w:tc>
        <w:tc>
          <w:tcPr>
            <w:tcW w:w="78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p>
        </w:tc>
        <w:tc>
          <w:tcPr>
            <w:tcW w:w="1245"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p>
        </w:tc>
        <w:tc>
          <w:tcPr>
            <w:tcW w:w="102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t>%</w:t>
            </w:r>
          </w:p>
        </w:tc>
        <w:tc>
          <w:tcPr>
            <w:tcW w:w="833"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p>
        </w:tc>
        <w:tc>
          <w:tcPr>
            <w:tcW w:w="834"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kern w:val="0"/>
                <w:sz w:val="24"/>
                <w:szCs w:val="24"/>
                <w:highlight w:val="none"/>
                <w:vertAlign w:val="baseli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t>%</w:t>
            </w:r>
          </w:p>
        </w:tc>
        <w:tc>
          <w:tcPr>
            <w:tcW w:w="928"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p>
        </w:tc>
        <w:tc>
          <w:tcPr>
            <w:tcW w:w="78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vertAlign w:val="baseline"/>
                <w:lang w:val="en-US" w:eastAsia="zh-CN"/>
                <w14:textFill>
                  <w14:solidFill>
                    <w14:schemeClr w14:val="tx1"/>
                  </w14:solidFill>
                </w14:textFill>
              </w:rPr>
              <w:t>%</w:t>
            </w:r>
          </w:p>
        </w:tc>
        <w:tc>
          <w:tcPr>
            <w:tcW w:w="84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99"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每年</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合计</w:t>
            </w:r>
          </w:p>
        </w:tc>
        <w:tc>
          <w:tcPr>
            <w:tcW w:w="1545" w:type="dxa"/>
            <w:vAlign w:val="center"/>
          </w:tcPr>
          <w:p>
            <w:pPr>
              <w:keepNext w:val="0"/>
              <w:keepLines w:val="0"/>
              <w:widowControl/>
              <w:suppressLineNumbers w:val="0"/>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p>
        </w:tc>
        <w:tc>
          <w:tcPr>
            <w:tcW w:w="78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7</w:t>
            </w:r>
          </w:p>
        </w:tc>
        <w:tc>
          <w:tcPr>
            <w:tcW w:w="1245"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p>
        </w:tc>
        <w:tc>
          <w:tcPr>
            <w:tcW w:w="102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p>
        </w:tc>
        <w:tc>
          <w:tcPr>
            <w:tcW w:w="833"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p>
        </w:tc>
        <w:tc>
          <w:tcPr>
            <w:tcW w:w="834"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p>
        </w:tc>
        <w:tc>
          <w:tcPr>
            <w:tcW w:w="928"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p>
        </w:tc>
        <w:tc>
          <w:tcPr>
            <w:tcW w:w="78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p>
        </w:tc>
        <w:tc>
          <w:tcPr>
            <w:tcW w:w="840"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699" w:type="dxa"/>
            <w:vAlign w:val="center"/>
          </w:tcPr>
          <w:p>
            <w:pPr>
              <w:pStyle w:val="9"/>
              <w:keepNext w:val="0"/>
              <w:keepLines w:val="0"/>
              <w:widowControl/>
              <w:suppressLineNumbers w:val="0"/>
              <w:spacing w:before="100" w:beforeAutospacing="1" w:after="100" w:afterAutospacing="1"/>
              <w:jc w:val="cente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三年合计报价</w:t>
            </w:r>
          </w:p>
        </w:tc>
        <w:tc>
          <w:tcPr>
            <w:tcW w:w="8805" w:type="dxa"/>
            <w:gridSpan w:val="9"/>
            <w:vAlign w:val="center"/>
          </w:tcPr>
          <w:p>
            <w:pPr>
              <w:pStyle w:val="9"/>
              <w:keepNext w:val="0"/>
              <w:keepLines w:val="0"/>
              <w:widowControl/>
              <w:suppressLineNumbers w:val="0"/>
              <w:spacing w:before="100" w:beforeAutospacing="1" w:after="100" w:afterAutospacing="1"/>
              <w:jc w:val="both"/>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合同包</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 xml:space="preserve">合计大写人民币：     </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9504" w:type="dxa"/>
            <w:gridSpan w:val="10"/>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Theme="minorEastAsia" w:hAnsiTheme="minorEastAsia" w:eastAsiaTheme="minorEastAsia" w:cstheme="minorEastAsia"/>
                <w:b/>
                <w:bCs/>
                <w:i w:val="0"/>
                <w:caps w:val="0"/>
                <w:color w:val="000000" w:themeColor="text1"/>
                <w:spacing w:val="0"/>
                <w:sz w:val="27"/>
                <w:szCs w:val="27"/>
                <w:highlight w:val="none"/>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sz w:val="27"/>
                <w:szCs w:val="27"/>
                <w:highlight w:val="none"/>
                <w:lang w:val="en-US" w:eastAsia="zh-CN"/>
                <w14:textFill>
                  <w14:solidFill>
                    <w14:schemeClr w14:val="tx1"/>
                  </w14:solidFill>
                </w14:textFill>
              </w:rPr>
              <w:t>备注：</w:t>
            </w:r>
          </w:p>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bCs/>
                <w:i w:val="0"/>
                <w:caps w:val="0"/>
                <w:color w:val="000000" w:themeColor="text1"/>
                <w:spacing w:val="0"/>
                <w:sz w:val="27"/>
                <w:szCs w:val="27"/>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车辆</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维修和保养报价要求</w:t>
            </w:r>
          </w:p>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bCs/>
                <w:i w:val="0"/>
                <w:caps w:val="0"/>
                <w:color w:val="000000" w:themeColor="text1"/>
                <w:spacing w:val="0"/>
                <w:sz w:val="27"/>
                <w:szCs w:val="27"/>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b/>
                <w:bCs/>
                <w:i w:val="0"/>
                <w:caps w:val="0"/>
                <w:color w:val="000000" w:themeColor="text1"/>
                <w:spacing w:val="0"/>
                <w:sz w:val="27"/>
                <w:szCs w:val="27"/>
                <w:highlight w:val="none"/>
                <w:lang w:val="en-US" w:eastAsia="zh-CN"/>
                <w14:textFill>
                  <w14:solidFill>
                    <w14:schemeClr w14:val="tx1"/>
                  </w14:solidFill>
                </w14:textFill>
              </w:rPr>
              <w:t>以上表格根据上一年度汽车维修企业维修和保养记录结果统计。</w:t>
            </w:r>
          </w:p>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bCs/>
                <w:i w:val="0"/>
                <w:caps w:val="0"/>
                <w:color w:val="000000" w:themeColor="text1"/>
                <w:spacing w:val="0"/>
                <w:sz w:val="27"/>
                <w:szCs w:val="27"/>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b/>
                <w:bCs/>
                <w:i w:val="0"/>
                <w:caps w:val="0"/>
                <w:color w:val="000000" w:themeColor="text1"/>
                <w:spacing w:val="0"/>
                <w:sz w:val="27"/>
                <w:szCs w:val="27"/>
                <w:highlight w:val="none"/>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每年</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合计</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①材料：维修和保养价格（元/辆）</w:t>
            </w:r>
            <w:r>
              <w:rPr>
                <w:rFonts w:hint="eastAsia" w:asciiTheme="minorEastAsia" w:hAnsiTheme="minorEastAsia" w:eastAsiaTheme="minorEastAsia" w:cstheme="minorEastAsia"/>
                <w:b/>
                <w:bCs/>
                <w:i w:val="0"/>
                <w:caps w:val="0"/>
                <w:color w:val="000000" w:themeColor="text1"/>
                <w:spacing w:val="0"/>
                <w:sz w:val="27"/>
                <w:szCs w:val="27"/>
                <w:highlight w:val="none"/>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①材料折扣+②工时</w:t>
            </w: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（元/辆.年）</w:t>
            </w:r>
            <w:r>
              <w:rPr>
                <w:rFonts w:hint="eastAsia" w:asciiTheme="minorEastAsia" w:hAnsiTheme="minorEastAsia" w:eastAsiaTheme="minorEastAsia" w:cstheme="minorEastAsia"/>
                <w:b/>
                <w:bCs/>
                <w:i w:val="0"/>
                <w:caps w:val="0"/>
                <w:color w:val="000000" w:themeColor="text1"/>
                <w:spacing w:val="0"/>
                <w:sz w:val="27"/>
                <w:szCs w:val="27"/>
                <w:highlight w:val="none"/>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②工时折扣+③洗车</w:t>
            </w:r>
            <w:r>
              <w:rPr>
                <w:rFonts w:hint="eastAsia" w:asciiTheme="minorEastAsia" w:hAnsiTheme="minorEastAsia" w:eastAsiaTheme="minorEastAsia" w:cstheme="minorEastAsia"/>
                <w:b/>
                <w:bCs/>
                <w:color w:val="000000" w:themeColor="text1"/>
                <w:kern w:val="2"/>
                <w:sz w:val="21"/>
                <w:szCs w:val="21"/>
                <w:highlight w:val="none"/>
                <w:lang w:val="en-US" w:eastAsia="zh-CN" w:bidi="ar-SA"/>
                <w14:textFill>
                  <w14:solidFill>
                    <w14:schemeClr w14:val="tx1"/>
                  </w14:solidFill>
                </w14:textFill>
              </w:rPr>
              <w:t>（元/辆.年）</w:t>
            </w:r>
            <w:r>
              <w:rPr>
                <w:rFonts w:hint="eastAsia" w:asciiTheme="minorEastAsia" w:hAnsiTheme="minorEastAsia" w:eastAsiaTheme="minorEastAsia" w:cstheme="minorEastAsia"/>
                <w:b/>
                <w:bCs/>
                <w:i w:val="0"/>
                <w:caps w:val="0"/>
                <w:color w:val="000000" w:themeColor="text1"/>
                <w:spacing w:val="0"/>
                <w:sz w:val="27"/>
                <w:szCs w:val="27"/>
                <w:highlight w:val="none"/>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t>③洗车折扣</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w:t>
            </w:r>
            <w:r>
              <w:rPr>
                <w:rFonts w:hint="eastAsia" w:asciiTheme="minorEastAsia" w:hAnsiTheme="minorEastAsia" w:eastAsiaTheme="minorEastAsia" w:cstheme="minorEastAsia"/>
                <w:b/>
                <w:bCs/>
                <w:i w:val="0"/>
                <w:caps w:val="0"/>
                <w:color w:val="000000" w:themeColor="text1"/>
                <w:spacing w:val="0"/>
                <w:sz w:val="27"/>
                <w:szCs w:val="27"/>
                <w:highlight w:val="none"/>
                <w:lang w:val="en-US" w:eastAsia="zh-CN"/>
                <w14:textFill>
                  <w14:solidFill>
                    <w14:schemeClr w14:val="tx1"/>
                  </w14:solidFill>
                </w14:textFill>
              </w:rPr>
              <w:t>*车辆数量</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542" w:firstLineChars="200"/>
              <w:textAlignment w:val="auto"/>
              <w:rPr>
                <w:rFonts w:hint="eastAsia" w:asciiTheme="minorEastAsia" w:hAnsiTheme="minorEastAsia" w:eastAsiaTheme="minorEastAsia" w:cstheme="minorEastAsia"/>
                <w:b/>
                <w:bCs/>
                <w:i w:val="0"/>
                <w:caps w:val="0"/>
                <w:color w:val="000000" w:themeColor="text1"/>
                <w:spacing w:val="0"/>
                <w:sz w:val="27"/>
                <w:szCs w:val="27"/>
                <w:highlight w:val="none"/>
                <w:lang w:val="en-US" w:eastAsia="zh-CN"/>
                <w14:textFill>
                  <w14:solidFill>
                    <w14:schemeClr w14:val="tx1"/>
                  </w14:solidFill>
                </w14:textFill>
              </w:rPr>
            </w:pPr>
            <w:r>
              <w:rPr>
                <w:rFonts w:hint="eastAsia" w:asciiTheme="minorEastAsia" w:hAnsiTheme="minorEastAsia" w:eastAsiaTheme="minorEastAsia" w:cstheme="minorEastAsia"/>
                <w:b/>
                <w:bCs/>
                <w:i w:val="0"/>
                <w:caps w:val="0"/>
                <w:color w:val="000000" w:themeColor="text1"/>
                <w:spacing w:val="0"/>
                <w:sz w:val="27"/>
                <w:szCs w:val="27"/>
                <w:highlight w:val="none"/>
                <w:lang w:val="en-US" w:eastAsia="zh-CN"/>
                <w14:textFill>
                  <w14:solidFill>
                    <w14:schemeClr w14:val="tx1"/>
                  </w14:solidFill>
                </w14:textFill>
              </w:rPr>
              <w:t>三年合计=</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每年</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合计</w:t>
            </w:r>
            <w:r>
              <w:rPr>
                <w:rFonts w:hint="eastAsia" w:asciiTheme="minorEastAsia" w:hAnsiTheme="minorEastAsia" w:eastAsiaTheme="minorEastAsia" w:cstheme="minorEastAsia"/>
                <w:b/>
                <w:bCs/>
                <w:i w:val="0"/>
                <w:caps w:val="0"/>
                <w:color w:val="000000" w:themeColor="text1"/>
                <w:spacing w:val="0"/>
                <w:sz w:val="27"/>
                <w:szCs w:val="27"/>
                <w:highlight w:val="none"/>
                <w:lang w:val="en-US" w:eastAsia="zh-CN"/>
                <w14:textFill>
                  <w14:solidFill>
                    <w14:schemeClr w14:val="tx1"/>
                  </w14:solidFill>
                </w14:textFill>
              </w:rPr>
              <w:t>*3年</w:t>
            </w:r>
          </w:p>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stheme="minorEastAsia"/>
                <w:b/>
                <w:bCs/>
                <w:color w:val="000000" w:themeColor="text1"/>
                <w:sz w:val="24"/>
                <w:szCs w:val="24"/>
                <w:highlight w:val="none"/>
                <w:vertAlign w:val="baseli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b/>
                <w:bCs/>
                <w:i w:val="0"/>
                <w:caps w:val="0"/>
                <w:color w:val="000000" w:themeColor="text1"/>
                <w:spacing w:val="0"/>
                <w:sz w:val="27"/>
                <w:szCs w:val="27"/>
                <w:highlight w:val="none"/>
                <w:lang w:val="en-US" w:eastAsia="zh-CN"/>
                <w14:textFill>
                  <w14:solidFill>
                    <w14:schemeClr w14:val="tx1"/>
                  </w14:solidFill>
                </w14:textFill>
              </w:rPr>
              <w:t>供应商按以上价格表中所列材料费、工时费、洗车费进行折扣报价，形成最终报价结果。各符合条件的供应商对应自己所维修和保养的车辆类型进行报价，所报金额不得大于本项目的预算价，否则视为无效投标。</w:t>
            </w:r>
          </w:p>
        </w:tc>
      </w:tr>
    </w:tbl>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备注：详细报价书另纸详列，格式自拟。</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附件2-1       </w:t>
      </w:r>
      <w:r>
        <w:rPr>
          <w:rFonts w:hint="eastAsia" w:asciiTheme="minorEastAsia" w:hAnsiTheme="minorEastAsia" w:eastAsiaTheme="minorEastAsia" w:cstheme="minorEastAsia"/>
          <w:color w:val="000000" w:themeColor="text1"/>
          <w:sz w:val="36"/>
          <w:szCs w:val="36"/>
          <w:highlight w:val="none"/>
          <w14:textFill>
            <w14:solidFill>
              <w14:schemeClr w14:val="tx1"/>
            </w14:solidFill>
          </w14:textFill>
        </w:rPr>
        <w:t> </w:t>
      </w:r>
      <w:r>
        <w:rPr>
          <w:rStyle w:val="13"/>
          <w:rFonts w:hint="eastAsia" w:asciiTheme="minorEastAsia" w:hAnsiTheme="minorEastAsia" w:eastAsiaTheme="minorEastAsia" w:cstheme="minorEastAsia"/>
          <w:color w:val="000000" w:themeColor="text1"/>
          <w:sz w:val="36"/>
          <w:szCs w:val="36"/>
          <w:highlight w:val="none"/>
          <w14:textFill>
            <w14:solidFill>
              <w14:schemeClr w14:val="tx1"/>
            </w14:solidFill>
          </w14:textFill>
        </w:rPr>
        <w:t>详细报价书</w:t>
      </w:r>
    </w:p>
    <w:p>
      <w:pPr>
        <w:pStyle w:val="9"/>
        <w:widowControl/>
        <w:spacing w:before="75" w:beforeAutospacing="0" w:after="75" w:afterAutospacing="0" w:line="375" w:lineRule="atLeast"/>
        <w:jc w:val="cente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9"/>
        <w:widowControl/>
        <w:spacing w:before="75" w:beforeAutospacing="0" w:after="75" w:afterAutospacing="0" w:line="375" w:lineRule="atLeast"/>
        <w:jc w:val="center"/>
        <w:rPr>
          <w:rFonts w:hint="eastAsia" w:asciiTheme="minorEastAsia" w:hAnsiTheme="minorEastAsia" w:eastAsiaTheme="minorEastAsia" w:cstheme="minorEastAsia"/>
          <w:b/>
          <w:bCs/>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eastAsia="zh-CN"/>
          <w14:textFill>
            <w14:solidFill>
              <w14:schemeClr w14:val="tx1"/>
            </w14:solidFill>
          </w14:textFill>
        </w:rPr>
        <w:t>表格自拟</w:t>
      </w:r>
    </w:p>
    <w:p>
      <w:pPr>
        <w:pStyle w:val="9"/>
        <w:widowControl/>
        <w:spacing w:before="75" w:beforeAutospacing="0" w:after="75" w:afterAutospacing="0" w:line="375" w:lineRule="atLeast"/>
        <w:jc w:val="cente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eastAsia="zh-CN"/>
          <w14:textFill>
            <w14:solidFill>
              <w14:schemeClr w14:val="tx1"/>
            </w14:solidFill>
          </w14:textFill>
        </w:rPr>
        <w:t>（各供应商需对</w:t>
      </w:r>
      <w:r>
        <w:rPr>
          <w:rFonts w:hint="eastAsia" w:asciiTheme="minorEastAsia" w:hAnsiTheme="minorEastAsia" w:eastAsiaTheme="minorEastAsia" w:cstheme="minorEastAsia"/>
          <w:b/>
          <w:bCs/>
          <w:color w:val="000000" w:themeColor="text1"/>
          <w:highlight w:val="none"/>
          <w:lang w:val="en-US" w:eastAsia="zh-CN"/>
          <w14:textFill>
            <w14:solidFill>
              <w14:schemeClr w14:val="tx1"/>
            </w14:solidFill>
          </w14:textFill>
        </w:rPr>
        <w:t>3种车辆类型</w:t>
      </w:r>
      <w:r>
        <w:rPr>
          <w:rFonts w:hint="eastAsia" w:asciiTheme="minorEastAsia" w:hAnsiTheme="minorEastAsia" w:eastAsiaTheme="minorEastAsia" w:cstheme="minorEastAsia"/>
          <w:b/>
          <w:bCs/>
          <w:color w:val="000000" w:themeColor="text1"/>
          <w:highlight w:val="none"/>
          <w:lang w:eastAsia="zh-CN"/>
          <w14:textFill>
            <w14:solidFill>
              <w14:schemeClr w14:val="tx1"/>
            </w14:solidFill>
          </w14:textFill>
        </w:rPr>
        <w:t>有可能产生的人工费、洗车费进行单价报价，此单价报价为人工费、洗车费原价）</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详细报价说明：</w:t>
      </w:r>
    </w:p>
    <w:p>
      <w:pPr>
        <w:numPr>
          <w:ilvl w:val="0"/>
          <w:numId w:val="8"/>
        </w:numPr>
        <w:spacing w:line="360" w:lineRule="auto"/>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须分别报出人工费（即维修工时单价）。</w:t>
      </w:r>
    </w:p>
    <w:p>
      <w:pPr>
        <w:numPr>
          <w:ilvl w:val="0"/>
          <w:numId w:val="0"/>
        </w:numPr>
        <w:spacing w:line="360" w:lineRule="auto"/>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人工费用按维修工时单价计算，单位为“元/小时”，人工费优惠率指在合同实际履约期内，</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承诺在其投标人工费报价的基础上再给予的一定幅度的优惠，即最终结算的维修工时单价=</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单价×（1-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工费优惠率）。</w:t>
      </w:r>
    </w:p>
    <w:p>
      <w:pPr>
        <w:spacing w:line="360" w:lineRule="auto"/>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所报人工费优惠率及</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材料费</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优惠率不得低于5%，否则将视为无效投标。</w:t>
      </w:r>
    </w:p>
    <w:p>
      <w:pPr>
        <w:spacing w:line="360" w:lineRule="auto"/>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在合同履约期内，无论何种车型、何种维修项目、何种品牌零配件，均按本次招标确定的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价格执行，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不得擅自提高收费标准。</w:t>
      </w:r>
    </w:p>
    <w:p>
      <w:pPr>
        <w:spacing w:line="360" w:lineRule="auto"/>
        <w:ind w:firstLine="240" w:firstLineChars="1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所有项目的报价均包括但不局限于其相应的检测、维修、零配件更换、安装、调试，经用户方验收合格并交付使用所有可能发生的费用。</w:t>
      </w:r>
    </w:p>
    <w:p>
      <w:pPr>
        <w:pStyle w:val="9"/>
        <w:widowControl/>
        <w:spacing w:before="75" w:beforeAutospacing="0" w:after="75" w:afterAutospacing="0" w:line="375" w:lineRule="atLeast"/>
        <w:ind w:firstLine="240" w:firstLineChars="1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对本项目只能有一个报价，招标采购单位不接受有选择的报价。</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附件3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资格证明文件</w:t>
      </w: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6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附件3-1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参加竞争性谈判的声明函</w:t>
      </w: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致：(采购人或采购代理机构)        </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60" w:lineRule="atLeast"/>
        <w:ind w:left="54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2、供应商的基本概况：</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2.1供应商单位名称：                               </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2.2注册地址：                                     </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2.3单位负责人姓名：        性别：     年龄：     职务：      。</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备注：“单位负责人”指单位法定代表人（供应商为法人的）或法律、法规规定代表单位行使职权的主要负责人（供应商为其他组织的）。</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对于接受联合体形式的谈判且供应商是联合体的，则联合体各成员都应当提交本资格证明文件。</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附件3-2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供应商的资格声明</w:t>
      </w: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7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致：(采购人或采购代理机构)       </w:t>
      </w:r>
    </w:p>
    <w:p>
      <w:pPr>
        <w:pStyle w:val="9"/>
        <w:widowControl/>
        <w:spacing w:before="75" w:beforeAutospacing="0" w:after="75" w:afterAutospacing="0" w:line="37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1、</w:t>
      </w:r>
      <w:r>
        <w:rPr>
          <w:rFonts w:hint="eastAsia" w:asciiTheme="minorEastAsia" w:hAnsiTheme="minorEastAsia" w:eastAsiaTheme="minorEastAsia" w:cstheme="minorEastAsia"/>
          <w:color w:val="000000" w:themeColor="text1"/>
          <w:highlight w:val="none"/>
          <w14:textFill>
            <w14:solidFill>
              <w14:schemeClr w14:val="tx1"/>
            </w14:solidFill>
          </w14:textFill>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0"/>
        <w:tblpPr w:leftFromText="180" w:rightFromText="180" w:vertAnchor="text" w:horzAnchor="page" w:tblpX="1788" w:tblpY="464"/>
        <w:tblOverlap w:val="never"/>
        <w:tblW w:w="894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991"/>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46" w:type="dxa"/>
            <w:tcMar>
              <w:top w:w="0" w:type="dxa"/>
              <w:left w:w="105" w:type="dxa"/>
              <w:bottom w:w="0" w:type="dxa"/>
              <w:right w:w="105" w:type="dxa"/>
            </w:tcMar>
            <w:vAlign w:val="center"/>
          </w:tcPr>
          <w:p>
            <w:pPr>
              <w:pStyle w:val="9"/>
              <w:widowControl/>
              <w:spacing w:beforeAutospacing="0" w:afterAutospacing="0" w:line="37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《中华人民共和国政府采购法》第二十二条对供应商的要求</w:t>
            </w:r>
          </w:p>
        </w:tc>
        <w:tc>
          <w:tcPr>
            <w:tcW w:w="2910" w:type="dxa"/>
            <w:tcMar>
              <w:top w:w="0" w:type="dxa"/>
              <w:left w:w="105" w:type="dxa"/>
              <w:bottom w:w="0" w:type="dxa"/>
              <w:right w:w="105" w:type="dxa"/>
            </w:tcMar>
            <w:vAlign w:val="center"/>
          </w:tcPr>
          <w:p>
            <w:pPr>
              <w:pStyle w:val="9"/>
              <w:widowControl/>
              <w:spacing w:beforeAutospacing="0" w:afterAutospacing="0" w:line="37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46" w:type="dxa"/>
            <w:tcMar>
              <w:top w:w="0" w:type="dxa"/>
              <w:left w:w="105" w:type="dxa"/>
              <w:bottom w:w="0" w:type="dxa"/>
              <w:right w:w="105" w:type="dxa"/>
            </w:tcMar>
            <w:vAlign w:val="center"/>
          </w:tcPr>
          <w:p>
            <w:pPr>
              <w:pStyle w:val="9"/>
              <w:widowControl/>
              <w:spacing w:beforeAutospacing="0" w:afterAutospacing="0" w:line="37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（1）具有独立承担民事责任的能力</w:t>
            </w:r>
          </w:p>
        </w:tc>
        <w:tc>
          <w:tcPr>
            <w:tcW w:w="2910"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46" w:type="dxa"/>
            <w:tcMar>
              <w:top w:w="0" w:type="dxa"/>
              <w:left w:w="105" w:type="dxa"/>
              <w:bottom w:w="0" w:type="dxa"/>
              <w:right w:w="105" w:type="dxa"/>
            </w:tcMar>
            <w:vAlign w:val="center"/>
          </w:tcPr>
          <w:p>
            <w:pPr>
              <w:pStyle w:val="9"/>
              <w:widowControl/>
              <w:spacing w:beforeAutospacing="0" w:afterAutospacing="0" w:line="37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（2）具有良好的商业信誉和健全的财务会计制度</w:t>
            </w:r>
          </w:p>
        </w:tc>
        <w:tc>
          <w:tcPr>
            <w:tcW w:w="2910"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46" w:type="dxa"/>
            <w:tcMar>
              <w:top w:w="0" w:type="dxa"/>
              <w:left w:w="105" w:type="dxa"/>
              <w:bottom w:w="0" w:type="dxa"/>
              <w:right w:w="105" w:type="dxa"/>
            </w:tcMar>
            <w:vAlign w:val="center"/>
          </w:tcPr>
          <w:p>
            <w:pPr>
              <w:pStyle w:val="9"/>
              <w:widowControl/>
              <w:spacing w:beforeAutospacing="0" w:afterAutospacing="0" w:line="37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（3）具有履行合同所必需的设备和专业技术能力</w:t>
            </w:r>
          </w:p>
        </w:tc>
        <w:tc>
          <w:tcPr>
            <w:tcW w:w="2910"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46" w:type="dxa"/>
            <w:tcMar>
              <w:top w:w="0" w:type="dxa"/>
              <w:left w:w="105" w:type="dxa"/>
              <w:bottom w:w="0" w:type="dxa"/>
              <w:right w:w="105" w:type="dxa"/>
            </w:tcMar>
            <w:vAlign w:val="center"/>
          </w:tcPr>
          <w:p>
            <w:pPr>
              <w:pStyle w:val="9"/>
              <w:widowControl/>
              <w:spacing w:beforeAutospacing="0" w:afterAutospacing="0" w:line="37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（4）有依法缴纳税收和社会保障资金的良好记录</w:t>
            </w:r>
          </w:p>
        </w:tc>
        <w:tc>
          <w:tcPr>
            <w:tcW w:w="2910"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46" w:type="dxa"/>
            <w:tcMar>
              <w:top w:w="0" w:type="dxa"/>
              <w:left w:w="105" w:type="dxa"/>
              <w:bottom w:w="0" w:type="dxa"/>
              <w:right w:w="105" w:type="dxa"/>
            </w:tcMar>
            <w:vAlign w:val="center"/>
          </w:tcPr>
          <w:p>
            <w:pPr>
              <w:pStyle w:val="9"/>
              <w:widowControl/>
              <w:spacing w:beforeAutospacing="0" w:afterAutospacing="0" w:line="37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（5）参加政府采购活动前三年内，在经营活动中没有重大违法记录</w:t>
            </w:r>
          </w:p>
        </w:tc>
        <w:tc>
          <w:tcPr>
            <w:tcW w:w="2910"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46" w:type="dxa"/>
            <w:tcMar>
              <w:top w:w="0" w:type="dxa"/>
              <w:left w:w="105" w:type="dxa"/>
              <w:bottom w:w="0" w:type="dxa"/>
              <w:right w:w="105" w:type="dxa"/>
            </w:tcMar>
            <w:vAlign w:val="center"/>
          </w:tcPr>
          <w:p>
            <w:pPr>
              <w:pStyle w:val="9"/>
              <w:widowControl/>
              <w:spacing w:beforeAutospacing="0" w:afterAutospacing="0" w:line="37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（6）法律、行政法规规定的其他条件。</w:t>
            </w:r>
          </w:p>
        </w:tc>
        <w:tc>
          <w:tcPr>
            <w:tcW w:w="2910"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46" w:type="dxa"/>
            <w:tcMar>
              <w:top w:w="0" w:type="dxa"/>
              <w:left w:w="105" w:type="dxa"/>
              <w:bottom w:w="0" w:type="dxa"/>
              <w:right w:w="105" w:type="dxa"/>
            </w:tcMar>
            <w:vAlign w:val="center"/>
          </w:tcPr>
          <w:p>
            <w:pPr>
              <w:pStyle w:val="9"/>
              <w:widowControl/>
              <w:spacing w:beforeAutospacing="0" w:afterAutospacing="0" w:line="37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谈判文件对合格供应商的一般规定</w:t>
            </w:r>
          </w:p>
        </w:tc>
        <w:tc>
          <w:tcPr>
            <w:tcW w:w="2910" w:type="dxa"/>
            <w:tcMar>
              <w:top w:w="0" w:type="dxa"/>
              <w:left w:w="105" w:type="dxa"/>
              <w:bottom w:w="0" w:type="dxa"/>
              <w:right w:w="105" w:type="dxa"/>
            </w:tcMar>
            <w:vAlign w:val="center"/>
          </w:tcPr>
          <w:p>
            <w:pPr>
              <w:pStyle w:val="9"/>
              <w:widowControl/>
              <w:spacing w:beforeAutospacing="0" w:afterAutospacing="0" w:line="37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46" w:type="dxa"/>
            <w:tcMar>
              <w:top w:w="0" w:type="dxa"/>
              <w:left w:w="105" w:type="dxa"/>
              <w:bottom w:w="0" w:type="dxa"/>
              <w:right w:w="105" w:type="dxa"/>
            </w:tcMar>
            <w:vAlign w:val="center"/>
          </w:tcPr>
          <w:p>
            <w:pPr>
              <w:pStyle w:val="9"/>
              <w:widowControl/>
              <w:spacing w:beforeAutospacing="0" w:afterAutospacing="0" w:line="37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供应商应当遵守中国的有关法律、法规和规章的规定，参加政府采购活动时已经自觉检查并按照政府采购相关法律规定，主动回避相应利害关系。</w:t>
            </w:r>
          </w:p>
        </w:tc>
        <w:tc>
          <w:tcPr>
            <w:tcW w:w="2910"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46" w:type="dxa"/>
            <w:tcMar>
              <w:top w:w="0" w:type="dxa"/>
              <w:left w:w="105" w:type="dxa"/>
              <w:bottom w:w="0" w:type="dxa"/>
              <w:right w:w="105" w:type="dxa"/>
            </w:tcMar>
            <w:vAlign w:val="center"/>
          </w:tcPr>
          <w:p>
            <w:pPr>
              <w:pStyle w:val="9"/>
              <w:widowControl/>
              <w:spacing w:beforeAutospacing="0" w:afterAutospacing="0" w:line="37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为采购项目提供整体设计、规范编制或项目管理、监理、检测等服务的供应商，不得再参加该采购项目除整体设计、规范编制和项目管理、监理、检测等服务之外的其他采购活动。</w:t>
            </w:r>
          </w:p>
        </w:tc>
        <w:tc>
          <w:tcPr>
            <w:tcW w:w="2910"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946" w:type="dxa"/>
            <w:tcMar>
              <w:top w:w="0" w:type="dxa"/>
              <w:left w:w="105" w:type="dxa"/>
              <w:bottom w:w="0" w:type="dxa"/>
              <w:right w:w="105" w:type="dxa"/>
            </w:tcMar>
            <w:vAlign w:val="center"/>
          </w:tcPr>
          <w:p>
            <w:pPr>
              <w:pStyle w:val="9"/>
              <w:widowControl/>
              <w:spacing w:beforeAutospacing="0" w:afterAutospacing="0" w:line="37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列入失信被执行人、重大税收违法案件当事人名单、政府采购严重违法失信行为记录名单的供应商，不得参加政府采购活动。</w:t>
            </w:r>
          </w:p>
        </w:tc>
        <w:tc>
          <w:tcPr>
            <w:tcW w:w="2910"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bl>
    <w:p>
      <w:pPr>
        <w:pStyle w:val="9"/>
        <w:widowControl/>
        <w:spacing w:before="75" w:beforeAutospacing="0" w:after="75" w:afterAutospacing="0" w:line="375" w:lineRule="atLeast"/>
        <w:ind w:firstLine="48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2、我方对上述声明的真实性、合法性、准确性、有效性负责，并愿意根据谈判文件和谈判过程中贵方要求提供全部现有资料、数据、文件等予以证实。</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备注：对于接受联合体形式的谈判且供应商是联合体的，则联合体各成员都应当提交本资格证明文件。</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附件3-3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单位负责人授权书</w:t>
      </w:r>
    </w:p>
    <w:p>
      <w:pPr>
        <w:pStyle w:val="9"/>
        <w:widowControl/>
        <w:spacing w:before="75" w:beforeAutospacing="0" w:after="75" w:afterAutospacing="0" w:line="40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致：(采购人或采购代理机构)       </w:t>
      </w:r>
    </w:p>
    <w:p>
      <w:pPr>
        <w:pStyle w:val="9"/>
        <w:widowControl/>
        <w:spacing w:before="75" w:beforeAutospacing="0" w:after="75" w:afterAutospacing="0" w:line="360"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供应商代表无转委权。特此授权。</w:t>
      </w:r>
    </w:p>
    <w:p>
      <w:pPr>
        <w:pStyle w:val="9"/>
        <w:widowControl/>
        <w:spacing w:before="75" w:beforeAutospacing="0" w:after="75" w:afterAutospacing="0" w:line="360"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（以下无正文）</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单位负责人：         身份证号：           手机：              </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         身份证号：           手机：              </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授权方</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供应商：（全称并加盖单位公章）</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单位负责人签字或盖章：                   </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接受授权方</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供应商代表签字：</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签署日期：    年   月   日</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60" w:lineRule="atLeast"/>
        <w:jc w:val="righ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0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附：单位负责人、供应商代表的身份证正反面复印件</w:t>
      </w:r>
    </w:p>
    <w:tbl>
      <w:tblPr>
        <w:tblStyle w:val="10"/>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tblCellSpacing w:w="15" w:type="dxa"/>
        </w:trPr>
        <w:tc>
          <w:tcPr>
            <w:tcW w:w="8505" w:type="dxa"/>
            <w:tcMar>
              <w:top w:w="0" w:type="dxa"/>
              <w:left w:w="105" w:type="dxa"/>
              <w:bottom w:w="0" w:type="dxa"/>
              <w:right w:w="105" w:type="dxa"/>
            </w:tcMar>
            <w:vAlign w:val="center"/>
          </w:tcPr>
          <w:p>
            <w:pPr>
              <w:pStyle w:val="9"/>
              <w:widowControl/>
              <w:spacing w:beforeAutospacing="0" w:afterAutospacing="0" w:line="40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Autospacing="0" w:afterAutospacing="0" w:line="40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要求：真实、有效、清晰</w:t>
            </w:r>
          </w:p>
          <w:p>
            <w:pPr>
              <w:pStyle w:val="9"/>
              <w:widowControl/>
              <w:spacing w:beforeAutospacing="0" w:afterAutospacing="0" w:line="40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tc>
      </w:tr>
    </w:tbl>
    <w:p>
      <w:pPr>
        <w:pStyle w:val="9"/>
        <w:widowControl/>
        <w:spacing w:before="75" w:beforeAutospacing="0" w:after="75" w:afterAutospacing="0" w:line="28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★注意：</w:t>
      </w:r>
    </w:p>
    <w:p>
      <w:pPr>
        <w:pStyle w:val="9"/>
        <w:widowControl/>
        <w:spacing w:beforeAutospacing="0" w:afterAutospacing="0" w:line="28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1、企业（银行、保险、石油石化、电力、电信等行业除外）、事业单位和社会团体法人的“单位负责人”指</w:t>
      </w: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，即与实际提交的“营业执照等证明文件”载明的一致。</w:t>
      </w:r>
    </w:p>
    <w:p>
      <w:pPr>
        <w:pStyle w:val="9"/>
        <w:widowControl/>
        <w:spacing w:beforeAutospacing="0" w:afterAutospacing="0" w:line="28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2、银行、保险、石油石化、电力、电信等行业：以法人身份参加谈判的，“单位负责人”指</w:t>
      </w: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，即与实际提交的“营业执照等证明文件”载明的一致；以非法人身份参加谈判的，“单位负责人”指</w:t>
      </w: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代表单位行使职权的主要负责人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，即与实际提交的“营业执照等证明文件”载明的一致。</w:t>
      </w:r>
    </w:p>
    <w:p>
      <w:pPr>
        <w:pStyle w:val="9"/>
        <w:widowControl/>
        <w:spacing w:beforeAutospacing="0" w:afterAutospacing="0" w:line="28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9"/>
        <w:widowControl/>
        <w:spacing w:before="75" w:beforeAutospacing="0" w:after="75" w:afterAutospacing="0" w:line="28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4、对于接受联合体形式的谈判且供应商是联合体的，则只需要联合体的牵头方提交本授权书，在纸质响应文件正本中的本授权书应为原件。</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附件3-4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营业执照等证明文件</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致：(采购人或采购代理机构)        </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（）供应商为法人（包括企业、事业单位和社会团体）的</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现附上由（填写“签发机关全称”）签发的我方统一社会信用代码（请填写法人的具体证照名称）复印件，该证明材料真实有效，否则我方负全部责任。</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（）供应商为非法人（包括其他组织、自然人）的</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□现附上由（填写“签发机关全称”）签发的我方（请填写非自然人的非法人的具体证照名称）复印件，该证明材料真实有效，否则我方负全部责任。</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□现附上由（填写“签发机关全称”）签发的我方（请填写自然人的身份证件名称）复印件，该证明材料真实有效，否则我方负全部责任。</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★注意：</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1、请供应商根据实际情况填写，在相应的（）中打“√”并选择相应的“□”（若有）后，再按照本格式的要求提供相应证明材料的复印件。</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3、供应商提供的相应证明材料复印件均应符合：内容完整、清晰、整洁，并由供应商加盖其单位公章。</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4、对于接受联合体形式的谈判且供应商是联合体的，则联合体各成员都应当提交本资格证明文件。</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附件3-5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财务状况报告</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致：(采购人或采购代理机构)         </w:t>
      </w:r>
    </w:p>
    <w:p>
      <w:pPr>
        <w:pStyle w:val="9"/>
        <w:widowControl/>
        <w:spacing w:before="75" w:beforeAutospacing="0" w:after="75" w:afterAutospacing="0" w:line="435" w:lineRule="atLeast"/>
        <w:ind w:firstLine="48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（）供应商提供财务报告的</w:t>
      </w:r>
    </w:p>
    <w:p>
      <w:pPr>
        <w:pStyle w:val="9"/>
        <w:widowControl/>
        <w:spacing w:before="75" w:beforeAutospacing="0" w:after="75" w:afterAutospacing="0" w:line="435" w:lineRule="atLeast"/>
        <w:ind w:firstLine="48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企业适用：现附上我方（填写“具体的年度、或半年度、或季度”）财务报告复印件，包括资产负债表、利润表、现金流量表、所有者权益变动表及其附注（若有），上述证明材料真实有效，否则我方负全部责任。</w:t>
      </w:r>
    </w:p>
    <w:p>
      <w:pPr>
        <w:pStyle w:val="9"/>
        <w:widowControl/>
        <w:spacing w:before="75" w:beforeAutospacing="0" w:after="75" w:afterAutospacing="0" w:line="435" w:lineRule="atLeast"/>
        <w:ind w:firstLine="48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事业单位适用：现附上我方（填写“具体的年度、或半年度、或季度”）财务报告复印件，包括资产负债表、收入支出表或收入费用表、财政补助收入支出表（若有），上述证明材料真实有效，否则我方负全部责任。</w:t>
      </w:r>
    </w:p>
    <w:p>
      <w:pPr>
        <w:pStyle w:val="9"/>
        <w:widowControl/>
        <w:spacing w:before="75" w:beforeAutospacing="0" w:after="75" w:afterAutospacing="0" w:line="435" w:lineRule="atLeast"/>
        <w:ind w:firstLine="48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□社会团体适用：现附上我方（填写“具体的年度、或半年度、或季度”）财务报告复印件，包括资产负债表、业务活动表、现金流量表，上述证明材料真实有效，否则我方负全部责任。</w:t>
      </w:r>
    </w:p>
    <w:p>
      <w:pPr>
        <w:pStyle w:val="9"/>
        <w:widowControl/>
        <w:spacing w:before="75" w:beforeAutospacing="0" w:after="75" w:afterAutospacing="0" w:line="435" w:lineRule="atLeast"/>
        <w:ind w:firstLine="48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（）供应商提供资信证明的</w:t>
      </w:r>
    </w:p>
    <w:p>
      <w:pPr>
        <w:pStyle w:val="9"/>
        <w:widowControl/>
        <w:spacing w:before="75" w:beforeAutospacing="0" w:after="75" w:afterAutospacing="0" w:line="435" w:lineRule="atLeast"/>
        <w:ind w:firstLine="48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□非自然人适用：现附上我方开户（基本户）许可证复印件及我方银行：（填写“基本户的开户银行全称”）出具的资信证明复印件，上述证明材料真实有效，否则我方负全部责任。</w:t>
      </w:r>
    </w:p>
    <w:p>
      <w:pPr>
        <w:pStyle w:val="9"/>
        <w:widowControl/>
        <w:spacing w:before="75" w:beforeAutospacing="0" w:after="75" w:afterAutospacing="0" w:line="435" w:lineRule="atLeast"/>
        <w:ind w:firstLine="48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□自然人适用：现附上我方银行：（填写自然人的“个人账户的开户银行全称”）出具的资信证明复印件，上述证明材料真实有效，否则我方负全部责任。</w:t>
      </w:r>
    </w:p>
    <w:p>
      <w:pPr>
        <w:pStyle w:val="9"/>
        <w:widowControl/>
        <w:spacing w:before="75" w:beforeAutospacing="0" w:after="75" w:afterAutospacing="0" w:line="435" w:lineRule="atLeast"/>
        <w:ind w:firstLine="48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（）供应商提供投标担保函的</w:t>
      </w:r>
    </w:p>
    <w:p>
      <w:pPr>
        <w:pStyle w:val="9"/>
        <w:widowControl/>
        <w:spacing w:before="75" w:beforeAutospacing="0" w:after="75" w:afterAutospacing="0" w:line="435" w:lineRule="atLeast"/>
        <w:ind w:firstLine="48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现附上由财政部门认可的政府采购专业担保机构：（填写“担保机构全称”）出具的投标担保函复印件，上述证明材料真实有效，否则我方负全部责任。</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★注意事项：</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2、供应商提供的财务报告复印件（成立年限按照首次响应文件递交截止时间推算）应符合下列规定：</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2.1成立年限满1年及以上的供应商，提供经审计的上一年度的年度财务报告。</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2.2成立年限满半年但不足1年的供应商，提供该半年度中任一季度的季度财务报告或该半年度的半年度财务报告。</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法按照本格式注意事项第2.1、2.2条规定提供财务报告复印件的供应商，应按照本格式注意事项的要求选择提供资信证明复印件或投标担保函复印件，其中：非自然人的供应商选择提供资信证明的，还应附上其开户（基本户）许可证复印件。</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3、“财政部门认可的政府采购专业担保机构”应符合《财政部关于开展政府采购信用担保试点工作方案》（财库[2012]124号）的规定。</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4、供应商提供的相应证明材料复印件均应符合：内容完整、清晰、整洁，并由供应商加盖其单位公章。</w:t>
      </w:r>
    </w:p>
    <w:p>
      <w:pPr>
        <w:pStyle w:val="9"/>
        <w:widowControl/>
        <w:spacing w:before="75" w:beforeAutospacing="0" w:after="75" w:afterAutospacing="0" w:line="315" w:lineRule="atLeast"/>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5、对于接受联合体形式的谈判且供应商是联合体的，则联合体各成员都应当提交本资格证明文件。</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附件3-6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依法缴纳税收证明材料</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致：(采购人或采购代理机构)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1、依法缴纳税收的供应商</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（）法人（包括企业、事业单位和社会团体）的</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现附上自    年   月   日至    年   月   日期间我方缴纳的（按照供应商实际缴纳的税种名称填写，如：增值税、所得税等）税收凭据复印件，上述证明材料真实有效，否则我方负全部责任。</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（）非法人（包括其他组织、自然人）的</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现附上自    年   月   日至    年   月   日期间我方缴纳的（按照供应商实际缴纳的税种名称填写）税收凭据复印件，上述证明材料真实有效，否则我方负全部责任。</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2、依法免税的供应商</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（）现附上我方依法免税证明材料复印件，上述证明材料真实有效，否则我方负全部责任。</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★注意：</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1、请供应商根据实际情况填写，在相应的（）中打“√”，并按照本格式的要求提供相应证明材料的复印件。</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2、供应商提供的税收凭据复印件应符合下列规定：</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2.1首次响应文件递交截止时间前（不含截止时间的当月）已依法缴纳税收的供应商，提供首次响应文件递交截止时间前六个月（不含截止时间的当月）中任一月份的税收凭据复印件。</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2.2首次响应文件递交截止时间的当月成立且已依法缴纳税收的供应商，提供截止时间当月的税收凭据复印件。</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2.3首次响应文件递交截止时间的当月成立但因税务机关原因而尚未依法缴纳税收的供应商，提供依法缴纳税收承诺书原件（格式自拟），该承诺书视同税收凭据。</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3、供应商提供的相应证明材料复印件均应符合：内容完整、清晰、整洁，并由供应商加盖其单位公章。</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“依法缴纳税收证明材料”</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有欠缴记录的，视为</w:t>
      </w: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未依法缴纳税收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pPr>
        <w:pStyle w:val="9"/>
        <w:widowControl/>
        <w:spacing w:before="75" w:beforeAutospacing="0" w:after="75" w:afterAutospacing="0" w:line="31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5、对于接受联合体形式的谈判且供应商是联合体的，则联合体各成员都应当提交本资格证明文件。</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附件3-7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依法缴纳社会保障资金证明材料</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致：(采购人或采购代理机构)       </w:t>
      </w:r>
    </w:p>
    <w:p>
      <w:pPr>
        <w:pStyle w:val="9"/>
        <w:widowControl/>
        <w:spacing w:before="75" w:beforeAutospacing="0" w:after="75" w:afterAutospacing="0"/>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1、依法缴纳社会保障资金的供应商</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（）法人（包括企业、事业单位和社会团体）的</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（）非法人（包括其他组织、自然人）的</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9"/>
        <w:widowControl/>
        <w:spacing w:before="75" w:beforeAutospacing="0" w:after="75" w:afterAutospacing="0"/>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2、依法不需要缴纳社会保障资金的供应商</w:t>
      </w:r>
    </w:p>
    <w:p>
      <w:pPr>
        <w:pStyle w:val="9"/>
        <w:widowControl/>
        <w:spacing w:before="75" w:beforeAutospacing="0" w:after="75" w:afterAutospacing="0"/>
        <w:ind w:firstLine="42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（）现附上我方依法不需要缴纳社会保障资金证明材料复印件，上述证明材料真实有效，否则我方负全部责任。</w:t>
      </w:r>
    </w:p>
    <w:p>
      <w:pPr>
        <w:pStyle w:val="9"/>
        <w:widowControl/>
        <w:spacing w:beforeAutospacing="0" w:afterAutospacing="0" w:line="28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★注意：</w:t>
      </w:r>
    </w:p>
    <w:p>
      <w:pPr>
        <w:pStyle w:val="9"/>
        <w:widowControl/>
        <w:spacing w:beforeAutospacing="0" w:afterAutospacing="0" w:line="28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1、请供应商根据实际情况填写，在相应的（）中打“√”，并按照本格式的要求提供相应证明材料的复印件。</w:t>
      </w:r>
    </w:p>
    <w:p>
      <w:pPr>
        <w:pStyle w:val="9"/>
        <w:widowControl/>
        <w:spacing w:beforeAutospacing="0" w:afterAutospacing="0" w:line="28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2、供应商提供的社会保险凭据复印件应符合下列规定：</w:t>
      </w:r>
    </w:p>
    <w:p>
      <w:pPr>
        <w:pStyle w:val="9"/>
        <w:widowControl/>
        <w:spacing w:beforeAutospacing="0" w:afterAutospacing="0" w:line="28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2.1首次响应文件递交截止时间前（不含截止时间的当月）已依法缴纳社会保障资金的投供应商，提供首次响应文件递交截止时间前六个月（不含截止时间的当月）中任一月份的社会保险凭据复印件。</w:t>
      </w:r>
    </w:p>
    <w:p>
      <w:pPr>
        <w:pStyle w:val="9"/>
        <w:widowControl/>
        <w:spacing w:beforeAutospacing="0" w:afterAutospacing="0" w:line="28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2.2首次响应文件递交截止时间的当月成立且已依法缴纳社会保障资金的供应商，提供首次响应文件递交截止时间当月的社会保险凭据复印件。</w:t>
      </w:r>
    </w:p>
    <w:p>
      <w:pPr>
        <w:pStyle w:val="9"/>
        <w:widowControl/>
        <w:spacing w:beforeAutospacing="0" w:afterAutospacing="0" w:line="28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9"/>
        <w:widowControl/>
        <w:spacing w:beforeAutospacing="0" w:afterAutospacing="0" w:line="28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3、供应商提供的相应证明材料复印件均应符合：内容完整、清晰、整洁，并由供应商加盖其单位公章。</w:t>
      </w:r>
    </w:p>
    <w:p>
      <w:pPr>
        <w:pStyle w:val="9"/>
        <w:widowControl/>
        <w:spacing w:beforeAutospacing="0" w:afterAutospacing="0" w:line="28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“依法缴纳社会保障资金证明材料”</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有欠缴记录的，视为</w:t>
      </w: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未依法缴纳社会保障资金</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pPr>
        <w:pStyle w:val="9"/>
        <w:widowControl/>
        <w:spacing w:before="75" w:beforeAutospacing="0" w:after="75" w:afterAutospacing="0" w:line="28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5、对于接受联合体形式的谈判且供应商是联合体的，则联合体各成员都应当提交本资格证明文件。</w:t>
      </w:r>
    </w:p>
    <w:p>
      <w:pPr>
        <w:pStyle w:val="9"/>
        <w:widowControl/>
        <w:spacing w:beforeAutospacing="0" w:afterAutospacing="0" w:line="28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附件3-8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具备履行合同所必需设备和专业技术能力证明材料</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声明函</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致：(采购人或采购代理机构)       </w:t>
      </w:r>
    </w:p>
    <w:p>
      <w:pPr>
        <w:pStyle w:val="9"/>
        <w:widowControl/>
        <w:spacing w:before="75" w:beforeAutospacing="0" w:after="75" w:afterAutospacing="0"/>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我方具备履行合同所必需的设备和专业技术能力，并对本声明承诺的真实性负责，否则产生不利后果由我方承担责任。</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特此声明。</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★注意：</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3.对于接受联合体形式的谈判且供应商是联合体的，则联合体各成员都应当提交本资格证明文件。</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附件3-9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参加采购活动前三年内在经营活动中</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1935"/>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没有重大违法记录书面声明</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致：(采购人或采购代理机构)       </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参加采购活动前三年内，我方在经营活动中没有重大违法记录，</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也无行贿犯罪记录</w:t>
      </w: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特此声明。</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★注意：</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1、“重大违法记录”指供应商因违法经营受到刑事处罚或责令停产停业、吊销许可证或执照、较大数额罚款等行政处罚。</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2、请供应商根据实际情况进行声明，若声明不真实，视为提供虚假材料。</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3、对于接受联合体形式的谈判且供应商是联合体的，则联合体各成员都应当提交本资格证明文件。</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附件3-10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信用记录查询结果</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致：(采购人或采购代理机构)     </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★注意：</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1、供应商应</w:t>
      </w: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同时提供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在谈判文件要求的首次响应文件递交截止时点前通过上述2个网站获取的信用信息查询结果，信用信息查询结果应为从上述网站获取的查询结果原始页面的打印件或完整截图，</w:t>
      </w: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否则其响应文件将被否决</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2、若本项目接受联合体响应谈判且供应商为联合体，则联合体各成员均应</w:t>
      </w: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同时提供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在谈判文件要求的首次响应文件截止时点前通过上述2个网站获取的联合体各方的信用信息查询结果，信用信息查询结果应为从上述网站获取的查询结果原始页面的完整截图或打印件，</w:t>
      </w: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否则其响应文件将被否决</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3、联合体成员存在不良信用记录的，视同联合体存在不良信用记录，</w:t>
      </w: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其响应文件将被否决</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※除上述规定外，信用记录的其他有关规定（包括但不限于：信用信息的查询渠道及截止时点、查询记录和证据留存的具体方式、使用规则等内容）详见谈判文件第一章。</w:t>
      </w: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附件3-11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联合体协议</w:t>
      </w:r>
    </w:p>
    <w:p>
      <w:pPr>
        <w:pStyle w:val="9"/>
        <w:widowControl/>
        <w:spacing w:before="75" w:beforeAutospacing="0" w:after="75" w:afterAutospacing="0" w:line="43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（接受联合体的项目使用）</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致：(采购人或采购代理机构)     </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兹有（填写“联合体中各方的全称”，各方的全称之间请用“、”分割）自愿组成联合体，共同参加（填写“项目名称”）项目（项目编号：      ）的响应谈判。现就联合体参加本项目响应谈判的有关事宜达成下列协议：</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一、联合体各方应承担的工作和义务具体如下：</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1、联合体牵头方单位名称：                                  </w:t>
      </w: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（填写“工作及义务的具体内容”）；</w:t>
      </w:r>
    </w:p>
    <w:p>
      <w:pPr>
        <w:pStyle w:val="9"/>
        <w:widowControl/>
        <w:spacing w:before="75" w:beforeAutospacing="0" w:after="75" w:afterAutospacing="0" w:line="435" w:lineRule="atLeast"/>
        <w:jc w:val="righ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2、联合体成员方单位名称：                                    </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2.1（成员一的全称）： （填写“工作及义务的具体内容”） ；</w:t>
      </w:r>
    </w:p>
    <w:p>
      <w:pPr>
        <w:pStyle w:val="9"/>
        <w:widowControl/>
        <w:spacing w:before="75" w:beforeAutospacing="0" w:after="75" w:afterAutospacing="0" w:line="435" w:lineRule="atLeast"/>
        <w:ind w:firstLine="48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三、联合体各方约定由（填写填写“牵头方的全称”）代表联合体办理谈判保证金事宜。</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四、若成交，牵头方将代表联合体与采购人就合同签订事宜进行协商；若协商一致，则联合体各方将共同与采购人签订政府采购合同，并就政府采购合同约定的事项对采购人承担连带责任。</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五、本协议自签署之日起生效，政府采购合同履行完毕后自动失效。</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六、本协议一式（填写具体份数）份，联合体各方各执一份，响应文件中提交一份。</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（以下无正文）</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牵头方：（全称并加盖单位公章）</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  （签字或盖章）  </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成员一：（全称并加盖成员一的单位公章）</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  （签字或盖章）  </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成员**：（全称并加盖成员**的单位公章）</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  （签字或盖章）  </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签署日期：    年    月    日</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★注意：</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1、若谈判文件规定接受联合体形式且供应商为联合体的，则供应商应提供本协议；否则无须提供。</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2、本协议中的供应商代表如果不是竞争性谈判须知中定义的“单位负责人”，则还必须提供“单位负责人授权书”。</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3、若谈判文件规定接受联合体形式且供应商为联合体的，纸质响应文件正本中的本协议应为原件。</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附件3-12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其它资格证明文件</w:t>
      </w:r>
    </w:p>
    <w:p>
      <w:pPr>
        <w:pStyle w:val="9"/>
        <w:widowControl/>
        <w:spacing w:before="75" w:beforeAutospacing="0" w:after="75" w:afterAutospacing="0" w:line="420"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（如果有的话）</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2、若谈判文件规定接受联合体形式且供应商为联合体的，涉及联合体成员的其它资格证明文件在此处提供相关证明材料，并加盖供应商单位公章。</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附件4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谈判保证金凭证</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ind w:firstLine="336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编制说明</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1、在此项下提交的</w:t>
      </w: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“谈判保证金”</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材料可使用转账凭证复印件。</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2、谈判保证金是否已提交按照谈判文件规定执行。</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附件5-1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技术和服务要求响应表</w:t>
      </w: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供应商名称： （全称加盖单位公章）  项目编号∶       </w:t>
      </w:r>
    </w:p>
    <w:tbl>
      <w:tblPr>
        <w:tblStyle w:val="10"/>
        <w:tblW w:w="772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7"/>
        <w:gridCol w:w="2032"/>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9"/>
              <w:widowControl/>
              <w:spacing w:beforeAutospacing="0"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合同包</w:t>
            </w:r>
          </w:p>
        </w:tc>
        <w:tc>
          <w:tcPr>
            <w:tcW w:w="1378" w:type="dxa"/>
            <w:tcMar>
              <w:top w:w="0" w:type="dxa"/>
              <w:left w:w="105" w:type="dxa"/>
              <w:bottom w:w="0" w:type="dxa"/>
              <w:right w:w="105" w:type="dxa"/>
            </w:tcMar>
            <w:vAlign w:val="center"/>
          </w:tcPr>
          <w:p>
            <w:pPr>
              <w:pStyle w:val="9"/>
              <w:widowControl/>
              <w:spacing w:beforeAutospacing="0"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章节条目号</w:t>
            </w:r>
          </w:p>
        </w:tc>
        <w:tc>
          <w:tcPr>
            <w:tcW w:w="2307" w:type="dxa"/>
            <w:tcMar>
              <w:top w:w="0" w:type="dxa"/>
              <w:left w:w="105" w:type="dxa"/>
              <w:bottom w:w="0" w:type="dxa"/>
              <w:right w:w="105" w:type="dxa"/>
            </w:tcMar>
            <w:vAlign w:val="center"/>
          </w:tcPr>
          <w:p>
            <w:pPr>
              <w:pStyle w:val="9"/>
              <w:widowControl/>
              <w:spacing w:beforeAutospacing="0"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竞争性谈判文件规定的技术和服务要求</w:t>
            </w:r>
          </w:p>
        </w:tc>
        <w:tc>
          <w:tcPr>
            <w:tcW w:w="2002" w:type="dxa"/>
            <w:tcMar>
              <w:top w:w="0" w:type="dxa"/>
              <w:left w:w="105" w:type="dxa"/>
              <w:bottom w:w="0" w:type="dxa"/>
              <w:right w:w="105" w:type="dxa"/>
            </w:tcMar>
            <w:vAlign w:val="center"/>
          </w:tcPr>
          <w:p>
            <w:pPr>
              <w:pStyle w:val="9"/>
              <w:widowControl/>
              <w:spacing w:beforeAutospacing="0"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响应文件响应承诺</w:t>
            </w:r>
          </w:p>
        </w:tc>
        <w:tc>
          <w:tcPr>
            <w:tcW w:w="1176" w:type="dxa"/>
            <w:tcMar>
              <w:top w:w="0" w:type="dxa"/>
              <w:left w:w="105" w:type="dxa"/>
              <w:bottom w:w="0" w:type="dxa"/>
              <w:right w:w="105" w:type="dxa"/>
            </w:tcMar>
            <w:vAlign w:val="center"/>
          </w:tcPr>
          <w:p>
            <w:pPr>
              <w:pStyle w:val="9"/>
              <w:widowControl/>
              <w:spacing w:beforeAutospacing="0"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307"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0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7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307"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0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7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307"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0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7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307"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0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7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307"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0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7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307"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0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7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307"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0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7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bl>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附件5-2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商务条件和其它事项响应表 </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供应商名称： （全称加盖单位公章）  项目编号∶       </w:t>
      </w:r>
    </w:p>
    <w:tbl>
      <w:tblPr>
        <w:tblStyle w:val="10"/>
        <w:tblW w:w="768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6"/>
        <w:gridCol w:w="204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9"/>
              <w:widowControl/>
              <w:spacing w:beforeAutospacing="0"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合同包</w:t>
            </w:r>
          </w:p>
        </w:tc>
        <w:tc>
          <w:tcPr>
            <w:tcW w:w="1378" w:type="dxa"/>
            <w:tcMar>
              <w:top w:w="0" w:type="dxa"/>
              <w:left w:w="105" w:type="dxa"/>
              <w:bottom w:w="0" w:type="dxa"/>
              <w:right w:w="105" w:type="dxa"/>
            </w:tcMar>
            <w:vAlign w:val="center"/>
          </w:tcPr>
          <w:p>
            <w:pPr>
              <w:pStyle w:val="9"/>
              <w:widowControl/>
              <w:spacing w:beforeAutospacing="0"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章节条目号</w:t>
            </w:r>
          </w:p>
        </w:tc>
        <w:tc>
          <w:tcPr>
            <w:tcW w:w="2306" w:type="dxa"/>
            <w:tcMar>
              <w:top w:w="0" w:type="dxa"/>
              <w:left w:w="105" w:type="dxa"/>
              <w:bottom w:w="0" w:type="dxa"/>
              <w:right w:w="105" w:type="dxa"/>
            </w:tcMar>
            <w:vAlign w:val="center"/>
          </w:tcPr>
          <w:p>
            <w:pPr>
              <w:pStyle w:val="9"/>
              <w:widowControl/>
              <w:spacing w:beforeAutospacing="0"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竞争性谈判文件规定的商务条件要求</w:t>
            </w:r>
          </w:p>
        </w:tc>
        <w:tc>
          <w:tcPr>
            <w:tcW w:w="2016" w:type="dxa"/>
            <w:tcMar>
              <w:top w:w="0" w:type="dxa"/>
              <w:left w:w="105" w:type="dxa"/>
              <w:bottom w:w="0" w:type="dxa"/>
              <w:right w:w="105" w:type="dxa"/>
            </w:tcMar>
            <w:vAlign w:val="center"/>
          </w:tcPr>
          <w:p>
            <w:pPr>
              <w:pStyle w:val="9"/>
              <w:widowControl/>
              <w:spacing w:beforeAutospacing="0"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响应文件响应承诺</w:t>
            </w:r>
          </w:p>
        </w:tc>
        <w:tc>
          <w:tcPr>
            <w:tcW w:w="1118" w:type="dxa"/>
            <w:tcMar>
              <w:top w:w="0" w:type="dxa"/>
              <w:left w:w="105" w:type="dxa"/>
              <w:bottom w:w="0" w:type="dxa"/>
              <w:right w:w="105" w:type="dxa"/>
            </w:tcMar>
            <w:vAlign w:val="center"/>
          </w:tcPr>
          <w:p>
            <w:pPr>
              <w:pStyle w:val="9"/>
              <w:widowControl/>
              <w:spacing w:beforeAutospacing="0"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30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1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1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30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1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1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30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1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1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30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1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1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30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1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1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30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1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1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37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30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01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1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bl>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line="42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2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附件6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相关技术、商务、服务响应承诺及资料</w:t>
      </w:r>
    </w:p>
    <w:p>
      <w:pPr>
        <w:pStyle w:val="9"/>
        <w:widowControl/>
        <w:spacing w:before="75" w:beforeAutospacing="0" w:after="75" w:afterAutospacing="0" w:line="42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说明：    </w:t>
      </w:r>
    </w:p>
    <w:p>
      <w:pPr>
        <w:pStyle w:val="9"/>
        <w:widowControl/>
        <w:spacing w:before="75" w:beforeAutospacing="0" w:after="75" w:afterAutospacing="0" w:line="49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9"/>
        <w:widowControl/>
        <w:spacing w:before="75" w:beforeAutospacing="0" w:after="75" w:afterAutospacing="0" w:line="49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2.如果没有特别要求的，供应商根据谈判文件的要求以及特点，提供相关技术、商务、服务响应承诺及资料，格式自拟。</w:t>
      </w:r>
    </w:p>
    <w:p>
      <w:pPr>
        <w:pStyle w:val="9"/>
        <w:widowControl/>
        <w:spacing w:before="75" w:beforeAutospacing="0" w:after="75" w:afterAutospacing="0" w:line="49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20"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line="420"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95" w:lineRule="atLeast"/>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95" w:lineRule="atLeast"/>
        <w:rPr>
          <w:rStyle w:val="13"/>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49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2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6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6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附件7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供应商提交符合政府采购政策的证明材料</w:t>
      </w:r>
    </w:p>
    <w:p>
      <w:pPr>
        <w:pStyle w:val="9"/>
        <w:widowControl/>
        <w:spacing w:before="75" w:beforeAutospacing="0" w:after="75" w:afterAutospacing="0" w:line="420"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附件7-1-1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中小企业声明函（此表必须声明）</w:t>
      </w:r>
    </w:p>
    <w:p>
      <w:pPr>
        <w:pStyle w:val="9"/>
        <w:widowControl/>
        <w:spacing w:before="75" w:beforeAutospacing="0" w:after="75" w:afterAutospacing="0" w:line="31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15" w:lineRule="atLeast"/>
        <w:ind w:firstLine="48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本公司郑重声明，根据《政府采购促进中小企业发展暂行办法》（财库〔2011〕181号）的规定，本公司为                （请填写：中型、小型、微型）企业。即，本公司同时满足以下条件：</w:t>
      </w:r>
    </w:p>
    <w:p>
      <w:pPr>
        <w:pStyle w:val="9"/>
        <w:widowControl/>
        <w:spacing w:before="75" w:beforeAutospacing="0" w:after="75" w:afterAutospacing="0" w:line="31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1.根据《工业和信息化部、国家统计局、国家发展和改革委员会、财政部关于印发中小企业划型标准规定的通知》（工信部联企业〔2011〕300号）规定的划分标准，本公司为           （请填写：中型、小型、微型）企业。</w:t>
      </w:r>
    </w:p>
    <w:p>
      <w:pPr>
        <w:pStyle w:val="9"/>
        <w:widowControl/>
        <w:spacing w:before="75" w:beforeAutospacing="0" w:after="75" w:afterAutospacing="0" w:line="31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2.本公司参加         单位的               项目采购活动提供本企业制造的货物，由本企业承担工程、提供服务，或者提供其他              （请填写：中型、小型、微型）企业制造的货物。本条所称货物不包括使用大型企业注册商标的货物。</w:t>
      </w:r>
    </w:p>
    <w:p>
      <w:pPr>
        <w:pStyle w:val="9"/>
        <w:widowControl/>
        <w:spacing w:before="75" w:beforeAutospacing="0" w:after="75" w:afterAutospacing="0" w:line="31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本公司对上述声明的真实性负责。如有虚假，将依法承担相应责任。</w:t>
      </w:r>
    </w:p>
    <w:p>
      <w:pPr>
        <w:pStyle w:val="9"/>
        <w:widowControl/>
        <w:spacing w:before="75" w:beforeAutospacing="0" w:after="75" w:afterAutospacing="0" w:line="31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.日  期：     年    月    日</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注：需另附下表</w:t>
      </w:r>
    </w:p>
    <w:tbl>
      <w:tblPr>
        <w:tblStyle w:val="10"/>
        <w:tblW w:w="8637"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7"/>
        <w:gridCol w:w="744"/>
        <w:gridCol w:w="745"/>
        <w:gridCol w:w="745"/>
        <w:gridCol w:w="745"/>
        <w:gridCol w:w="745"/>
        <w:gridCol w:w="1136"/>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92" w:type="dxa"/>
            <w:tcMar>
              <w:top w:w="0" w:type="dxa"/>
              <w:left w:w="105" w:type="dxa"/>
              <w:bottom w:w="0" w:type="dxa"/>
              <w:right w:w="105" w:type="dxa"/>
            </w:tcMar>
            <w:vAlign w:val="center"/>
          </w:tcPr>
          <w:p>
            <w:pPr>
              <w:pStyle w:val="9"/>
              <w:widowControl/>
              <w:spacing w:beforeAutospacing="0" w:afterAutospacing="0" w:line="31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合同包/品目号</w:t>
            </w:r>
          </w:p>
        </w:tc>
        <w:tc>
          <w:tcPr>
            <w:tcW w:w="714" w:type="dxa"/>
            <w:tcMar>
              <w:top w:w="0" w:type="dxa"/>
              <w:left w:w="105" w:type="dxa"/>
              <w:bottom w:w="0" w:type="dxa"/>
              <w:right w:w="105" w:type="dxa"/>
            </w:tcMar>
            <w:vAlign w:val="center"/>
          </w:tcPr>
          <w:p>
            <w:pPr>
              <w:pStyle w:val="9"/>
              <w:widowControl/>
              <w:spacing w:beforeAutospacing="0" w:afterAutospacing="0" w:line="31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响应产品名称</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品牌型号</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最后报价单价</w:t>
            </w:r>
          </w:p>
        </w:tc>
        <w:tc>
          <w:tcPr>
            <w:tcW w:w="715" w:type="dxa"/>
            <w:tcMar>
              <w:top w:w="0" w:type="dxa"/>
              <w:left w:w="105" w:type="dxa"/>
              <w:bottom w:w="0" w:type="dxa"/>
              <w:right w:w="105" w:type="dxa"/>
            </w:tcMar>
            <w:vAlign w:val="center"/>
          </w:tcPr>
          <w:p>
            <w:pPr>
              <w:pStyle w:val="9"/>
              <w:widowControl/>
              <w:spacing w:beforeAutospacing="0" w:afterAutospacing="0" w:line="315" w:lineRule="atLeast"/>
              <w:ind w:left="15"/>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最后报价总价</w:t>
            </w:r>
          </w:p>
        </w:tc>
        <w:tc>
          <w:tcPr>
            <w:tcW w:w="1106" w:type="dxa"/>
            <w:tcMar>
              <w:top w:w="0" w:type="dxa"/>
              <w:left w:w="105" w:type="dxa"/>
              <w:bottom w:w="0" w:type="dxa"/>
              <w:right w:w="105" w:type="dxa"/>
            </w:tcMar>
            <w:vAlign w:val="center"/>
          </w:tcPr>
          <w:p>
            <w:pPr>
              <w:pStyle w:val="9"/>
              <w:widowControl/>
              <w:spacing w:beforeAutospacing="0" w:afterAutospacing="0" w:line="31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响应产品的生产或供应企业</w:t>
            </w:r>
          </w:p>
        </w:tc>
        <w:tc>
          <w:tcPr>
            <w:tcW w:w="2595" w:type="dxa"/>
            <w:tcMar>
              <w:top w:w="0" w:type="dxa"/>
              <w:left w:w="105" w:type="dxa"/>
              <w:bottom w:w="0" w:type="dxa"/>
              <w:right w:w="105" w:type="dxa"/>
            </w:tcMar>
            <w:vAlign w:val="center"/>
          </w:tcPr>
          <w:p>
            <w:pPr>
              <w:pStyle w:val="9"/>
              <w:widowControl/>
              <w:spacing w:beforeAutospacing="0" w:afterAutospacing="0" w:line="31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生产供应企业的规模类型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blCellSpacing w:w="15" w:type="dxa"/>
        </w:trPr>
        <w:tc>
          <w:tcPr>
            <w:tcW w:w="109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14"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15"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15"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15"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15"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06"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2595" w:type="dxa"/>
            <w:tcMar>
              <w:top w:w="0" w:type="dxa"/>
              <w:left w:w="105" w:type="dxa"/>
              <w:bottom w:w="0" w:type="dxa"/>
              <w:right w:w="105" w:type="dxa"/>
            </w:tcMar>
            <w:vAlign w:val="center"/>
          </w:tcPr>
          <w:p>
            <w:pPr>
              <w:pStyle w:val="9"/>
              <w:widowControl/>
              <w:spacing w:beforeAutospacing="0" w:afterAutospacing="0" w:line="315" w:lineRule="atLeast"/>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所报价产品的生产或供应企业类型为：     （请填写中型、小型、微型企业）</w:t>
            </w:r>
          </w:p>
        </w:tc>
      </w:tr>
    </w:tbl>
    <w:p>
      <w:pPr>
        <w:pStyle w:val="9"/>
        <w:widowControl/>
        <w:spacing w:before="75" w:beforeAutospacing="0" w:after="75" w:afterAutospacing="0" w:line="420"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1）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9"/>
        <w:widowControl/>
        <w:spacing w:before="75" w:beforeAutospacing="0" w:after="75" w:afterAutospacing="0" w:line="420"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pStyle w:val="9"/>
        <w:widowControl/>
        <w:spacing w:before="75" w:beforeAutospacing="0" w:after="75" w:afterAutospacing="0" w:line="420"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（3）供应商为监狱企业的，可不填写本声明函。根据其提供的由省级以上监狱管理局、戒毒管理局（含新疆生产建设兵团）出具的属于监狱企业的证明文件进行认定，监狱企业视同小型、微型企业。</w:t>
      </w: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20"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（4）供应商为残疾人福利性单位的，可不填写本声明函，根据其提供的《残疾人福利性单位声明函》（格式附后）进行认定，残疾人福利性单位视同小型、微型企业。</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附件7-1-2</w:t>
      </w:r>
    </w:p>
    <w:p>
      <w:pPr>
        <w:pStyle w:val="9"/>
        <w:widowControl/>
        <w:spacing w:before="75" w:beforeAutospacing="0" w:after="75"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残疾人福利性单位声明函（如果有的话）</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ind w:firstLine="42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本供应商郑重声明，根据《财政部民政部中国残疾人联合会关于促进残疾人就业政府采购政策的通知》（财库[2017]141号）的规定，本供应商为符合条件的残疾人福利性单位，且本供应商参加贵单位的（填写“项目名称”）项目采购活动：</w:t>
      </w:r>
    </w:p>
    <w:p>
      <w:pPr>
        <w:pStyle w:val="9"/>
        <w:widowControl/>
        <w:spacing w:before="75" w:beforeAutospacing="0" w:after="75" w:afterAutospacing="0" w:line="435" w:lineRule="atLeast"/>
        <w:ind w:firstLine="42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（）提供本供应商制造的（填写“所投合同包、品目号”）货物，</w:t>
      </w:r>
    </w:p>
    <w:p>
      <w:pPr>
        <w:pStyle w:val="9"/>
        <w:widowControl/>
        <w:spacing w:before="75" w:beforeAutospacing="0" w:after="75" w:afterAutospacing="0" w:line="435" w:lineRule="atLeast"/>
        <w:ind w:firstLine="42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（）由本供应商承担的（填写“所投合同包、品目号”）工程，</w:t>
      </w:r>
    </w:p>
    <w:p>
      <w:pPr>
        <w:pStyle w:val="9"/>
        <w:widowControl/>
        <w:spacing w:before="75" w:beforeAutospacing="0" w:after="75" w:afterAutospacing="0" w:line="435" w:lineRule="atLeast"/>
        <w:ind w:firstLine="42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（）由本供应商提供的（填写“所投合同包、品目号”）服务；或</w:t>
      </w:r>
    </w:p>
    <w:p>
      <w:pPr>
        <w:pStyle w:val="9"/>
        <w:widowControl/>
        <w:spacing w:before="75" w:beforeAutospacing="0" w:after="75" w:afterAutospacing="0" w:line="435" w:lineRule="atLeast"/>
        <w:ind w:firstLine="42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（）提供其他残疾人福利性单位制造的（填写“所投合同包、品目号”）货物（不包括使用非残疾人福利性单位注册商标的货物）。</w:t>
      </w:r>
    </w:p>
    <w:p>
      <w:pPr>
        <w:pStyle w:val="9"/>
        <w:widowControl/>
        <w:spacing w:before="75" w:beforeAutospacing="0" w:after="75" w:afterAutospacing="0" w:line="435" w:lineRule="atLeast"/>
        <w:ind w:firstLine="420"/>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本供应商对上述声明的真实性负责。如有虚假，将依法承担相应责任。</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.日  期：     年    月    日</w:t>
      </w:r>
    </w:p>
    <w:p>
      <w:pPr>
        <w:pStyle w:val="9"/>
        <w:widowControl/>
        <w:spacing w:before="75" w:beforeAutospacing="0" w:after="75" w:afterAutospacing="0" w:line="420"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1）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9"/>
        <w:widowControl/>
        <w:spacing w:before="75" w:beforeAutospacing="0" w:after="75" w:afterAutospacing="0" w:line="420"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（2）请供应商按照实际情况编制填写本声明函，并在相应的（）中打“√”。</w:t>
      </w:r>
    </w:p>
    <w:p>
      <w:pPr>
        <w:pStyle w:val="9"/>
        <w:widowControl/>
        <w:spacing w:before="75" w:beforeAutospacing="0" w:after="75" w:afterAutospacing="0" w:line="420"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（3）纸质响应文件正本中的本声明函（若有）应为原件。</w:t>
      </w:r>
    </w:p>
    <w:p>
      <w:pPr>
        <w:pStyle w:val="9"/>
        <w:widowControl/>
        <w:spacing w:before="75" w:beforeAutospacing="0" w:after="75" w:afterAutospacing="0" w:line="420" w:lineRule="atLeast"/>
        <w:ind w:firstLine="48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（4）若《残疾人福利性单位声明函》内容不真实，视为提供虚假材料。</w:t>
      </w:r>
    </w:p>
    <w:p>
      <w:pPr>
        <w:pStyle w:val="9"/>
        <w:widowControl/>
        <w:spacing w:before="75" w:beforeAutospacing="0" w:after="75" w:afterAutospacing="0" w:line="420"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附件7-2</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优先类节能产品、环境标志产品价格扣除证明材料（如果有的话）</w:t>
      </w:r>
    </w:p>
    <w:tbl>
      <w:tblPr>
        <w:tblStyle w:val="10"/>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0"/>
        <w:gridCol w:w="1213"/>
        <w:gridCol w:w="1207"/>
        <w:gridCol w:w="1218"/>
        <w:gridCol w:w="1207"/>
        <w:gridCol w:w="1218"/>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7255" w:type="dxa"/>
            <w:gridSpan w:val="6"/>
            <w:tcMar>
              <w:top w:w="0" w:type="dxa"/>
              <w:left w:w="105" w:type="dxa"/>
              <w:bottom w:w="0" w:type="dxa"/>
              <w:right w:w="105" w:type="dxa"/>
            </w:tcMar>
            <w:vAlign w:val="center"/>
          </w:tcPr>
          <w:p>
            <w:pPr>
              <w:pStyle w:val="9"/>
              <w:widowControl/>
              <w:spacing w:beforeAutospacing="0"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9"/>
              <w:widowControl/>
              <w:spacing w:beforeAutospacing="0"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合同包</w:t>
            </w:r>
          </w:p>
        </w:tc>
        <w:tc>
          <w:tcPr>
            <w:tcW w:w="1183" w:type="dxa"/>
            <w:tcMar>
              <w:top w:w="0" w:type="dxa"/>
              <w:left w:w="105" w:type="dxa"/>
              <w:bottom w:w="0" w:type="dxa"/>
              <w:right w:w="105" w:type="dxa"/>
            </w:tcMar>
            <w:vAlign w:val="center"/>
          </w:tcPr>
          <w:p>
            <w:pPr>
              <w:pStyle w:val="9"/>
              <w:widowControl/>
              <w:spacing w:beforeAutospacing="0"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1177" w:type="dxa"/>
            <w:tcMar>
              <w:top w:w="0" w:type="dxa"/>
              <w:left w:w="105" w:type="dxa"/>
              <w:bottom w:w="0" w:type="dxa"/>
              <w:right w:w="105" w:type="dxa"/>
            </w:tcMar>
            <w:vAlign w:val="center"/>
          </w:tcPr>
          <w:p>
            <w:pPr>
              <w:pStyle w:val="9"/>
              <w:widowControl/>
              <w:spacing w:beforeAutospacing="0"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产品名称</w:t>
            </w:r>
          </w:p>
        </w:tc>
        <w:tc>
          <w:tcPr>
            <w:tcW w:w="1188" w:type="dxa"/>
            <w:tcMar>
              <w:top w:w="0" w:type="dxa"/>
              <w:left w:w="105" w:type="dxa"/>
              <w:bottom w:w="0" w:type="dxa"/>
              <w:right w:w="105" w:type="dxa"/>
            </w:tcMar>
            <w:vAlign w:val="center"/>
          </w:tcPr>
          <w:p>
            <w:pPr>
              <w:pStyle w:val="9"/>
              <w:widowControl/>
              <w:spacing w:beforeAutospacing="0"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最后报价单价</w:t>
            </w:r>
          </w:p>
          <w:p>
            <w:pPr>
              <w:pStyle w:val="9"/>
              <w:widowControl/>
              <w:spacing w:beforeAutospacing="0"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w:t>
            </w:r>
          </w:p>
        </w:tc>
        <w:tc>
          <w:tcPr>
            <w:tcW w:w="1177" w:type="dxa"/>
            <w:tcMar>
              <w:top w:w="0" w:type="dxa"/>
              <w:left w:w="105" w:type="dxa"/>
              <w:bottom w:w="0" w:type="dxa"/>
              <w:right w:w="105" w:type="dxa"/>
            </w:tcMar>
            <w:vAlign w:val="center"/>
          </w:tcPr>
          <w:p>
            <w:pPr>
              <w:pStyle w:val="9"/>
              <w:widowControl/>
              <w:spacing w:beforeAutospacing="0"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188" w:type="dxa"/>
            <w:tcMar>
              <w:top w:w="0" w:type="dxa"/>
              <w:left w:w="105" w:type="dxa"/>
              <w:bottom w:w="0" w:type="dxa"/>
              <w:right w:w="105" w:type="dxa"/>
            </w:tcMar>
            <w:vAlign w:val="center"/>
          </w:tcPr>
          <w:p>
            <w:pPr>
              <w:pStyle w:val="9"/>
              <w:widowControl/>
              <w:spacing w:beforeAutospacing="0"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最后报价总价</w:t>
            </w:r>
          </w:p>
          <w:p>
            <w:pPr>
              <w:pStyle w:val="9"/>
              <w:widowControl/>
              <w:spacing w:beforeAutospacing="0"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w:t>
            </w:r>
          </w:p>
        </w:tc>
        <w:tc>
          <w:tcPr>
            <w:tcW w:w="1192" w:type="dxa"/>
            <w:tcMar>
              <w:top w:w="0" w:type="dxa"/>
              <w:left w:w="105" w:type="dxa"/>
              <w:bottom w:w="0" w:type="dxa"/>
              <w:right w:w="105" w:type="dxa"/>
            </w:tcMar>
            <w:vAlign w:val="center"/>
          </w:tcPr>
          <w:p>
            <w:pPr>
              <w:pStyle w:val="9"/>
              <w:widowControl/>
              <w:spacing w:beforeAutospacing="0"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vMerge w:val="restart"/>
            <w:tcMar>
              <w:top w:w="0" w:type="dxa"/>
              <w:left w:w="105" w:type="dxa"/>
              <w:bottom w:w="0" w:type="dxa"/>
              <w:right w:w="105" w:type="dxa"/>
            </w:tcMar>
            <w:vAlign w:val="center"/>
          </w:tcPr>
          <w:p>
            <w:pPr>
              <w:pStyle w:val="9"/>
              <w:widowControl/>
              <w:spacing w:beforeAutospacing="0"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1183" w:type="dxa"/>
            <w:tcMar>
              <w:top w:w="0" w:type="dxa"/>
              <w:left w:w="105" w:type="dxa"/>
              <w:bottom w:w="0" w:type="dxa"/>
              <w:right w:w="105" w:type="dxa"/>
            </w:tcMar>
            <w:vAlign w:val="center"/>
          </w:tcPr>
          <w:p>
            <w:pPr>
              <w:pStyle w:val="9"/>
              <w:widowControl/>
              <w:spacing w:beforeAutospacing="0"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177"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8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77"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8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9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vMerge w:val="continue"/>
            <w:tcMar>
              <w:top w:w="0" w:type="dxa"/>
              <w:left w:w="105" w:type="dxa"/>
              <w:bottom w:w="0" w:type="dxa"/>
              <w:right w:w="105" w:type="dxa"/>
            </w:tcMar>
            <w:vAlign w:val="center"/>
          </w:tcPr>
          <w:p>
            <w:pP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83" w:type="dxa"/>
            <w:tcMar>
              <w:top w:w="0" w:type="dxa"/>
              <w:left w:w="105" w:type="dxa"/>
              <w:bottom w:w="0" w:type="dxa"/>
              <w:right w:w="105" w:type="dxa"/>
            </w:tcMar>
            <w:vAlign w:val="center"/>
          </w:tcPr>
          <w:p>
            <w:pPr>
              <w:pStyle w:val="9"/>
              <w:widowControl/>
              <w:spacing w:beforeAutospacing="0"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1177"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8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77"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88"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192" w:type="dxa"/>
            <w:tcMar>
              <w:top w:w="0" w:type="dxa"/>
              <w:left w:w="105" w:type="dxa"/>
              <w:bottom w:w="0" w:type="dxa"/>
              <w:right w:w="105" w:type="dxa"/>
            </w:tcMar>
            <w:vAlign w:val="center"/>
          </w:tcPr>
          <w:p>
            <w:pPr>
              <w:widowControl/>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9"/>
              <w:widowControl/>
              <w:spacing w:beforeAutospacing="0" w:afterAutospacing="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w:t>
            </w:r>
          </w:p>
        </w:tc>
        <w:tc>
          <w:tcPr>
            <w:tcW w:w="7255" w:type="dxa"/>
            <w:gridSpan w:val="6"/>
            <w:tcMar>
              <w:top w:w="0" w:type="dxa"/>
              <w:left w:w="105" w:type="dxa"/>
              <w:bottom w:w="0" w:type="dxa"/>
              <w:right w:w="105" w:type="dxa"/>
            </w:tcMar>
          </w:tcPr>
          <w:p>
            <w:pPr>
              <w:pStyle w:val="9"/>
              <w:widowControl/>
              <w:spacing w:beforeAutospacing="0"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a.本合同包内属于节能、环境标志产品的合计最后报价总金额：      ；</w:t>
            </w:r>
          </w:p>
          <w:p>
            <w:pPr>
              <w:pStyle w:val="9"/>
              <w:widowControl/>
              <w:spacing w:beforeAutospacing="0"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b.本合同包最后报价总价：            ；</w:t>
            </w:r>
          </w:p>
          <w:p>
            <w:pPr>
              <w:pStyle w:val="9"/>
              <w:widowControl/>
              <w:spacing w:beforeAutospacing="0"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c.本合同包内属于节能、环境标志产品的合计最后报价总金额占本合同包最后报价总价的比例（以%列示）：           。</w:t>
            </w:r>
          </w:p>
        </w:tc>
      </w:tr>
    </w:tbl>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★注意：</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3、具体统计、计算：</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3.1若同一合同包内的单个或多个货物取得或同时取得节能、环境标志产品等两项或多项认证的，均按照单个货物对应一项认证的原则统计、计算1次。</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3.2计算结果若除不尽，可四舍五入保留到小数点后两位。</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3.3供应商应按照谈判文件上表要求认真统计、计算，否则谈判小组可不予认定。</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3.4若无节能、环境标志产品，不填写本表，否则，视为提供虚假材料。</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3.5强制类节能产品不享受价格扣除。</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9"/>
        <w:widowControl/>
        <w:spacing w:before="75" w:beforeAutospacing="0" w:after="75" w:afterAutospacing="0" w:line="360"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5、纸质响应文件正本中的本表（若有）应为原件。</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highlight w:val="none"/>
          <w14:textFill>
            <w14:solidFill>
              <w14:schemeClr w14:val="tx1"/>
            </w14:solidFill>
          </w14:textFill>
        </w:rPr>
        <w:t>附件8       </w:t>
      </w:r>
      <w:r>
        <w:rPr>
          <w:rStyle w:val="13"/>
          <w:rFonts w:hint="eastAsia" w:asciiTheme="minorEastAsia" w:hAnsiTheme="minorEastAsia" w:eastAsiaTheme="minorEastAsia" w:cstheme="minorEastAsia"/>
          <w:color w:val="000000" w:themeColor="text1"/>
          <w:highlight w:val="none"/>
          <w14:textFill>
            <w14:solidFill>
              <w14:schemeClr w14:val="tx1"/>
            </w14:solidFill>
          </w14:textFill>
        </w:rPr>
        <w:t>要求作为响应文件组成部分的其他内容（若有）</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说明：</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9"/>
        <w:widowControl/>
        <w:spacing w:before="75" w:beforeAutospacing="0" w:after="75" w:afterAutospacing="0" w:line="435" w:lineRule="atLeast"/>
        <w:ind w:firstLine="48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2、供应商根据自身实际情况编写有关资料包括如供应商单位简介、竞争性谈判文件要求提供或供应商自已认为体现自身优势，需要补充说明的其它资料，格式自拟。</w:t>
      </w: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
        <w:widowControl/>
        <w:spacing w:before="75" w:beforeAutospacing="0" w:after="75" w:afterAutospacing="0" w:line="37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left="31680" w:hanging="480" w:hanging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spacing w:before="75" w:beforeAutospacing="0" w:after="75" w:afterAutospacing="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w:t>
      </w:r>
    </w:p>
    <w:p>
      <w:pPr>
        <w:pStyle w:val="9"/>
        <w:widowControl/>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w:t>
      </w: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jc w:val="center"/>
        <w:rPr>
          <w:rStyle w:val="13"/>
          <w:rFonts w:hint="eastAsia" w:asciiTheme="minorEastAsia" w:hAnsiTheme="minorEastAsia" w:eastAsiaTheme="minorEastAsia" w:cstheme="minorEastAsia"/>
          <w:color w:val="000000" w:themeColor="text1"/>
          <w:kern w:val="0"/>
          <w:szCs w:val="22"/>
          <w:highlight w:val="none"/>
          <w14:textFill>
            <w14:solidFill>
              <w14:schemeClr w14:val="tx1"/>
            </w14:solidFill>
          </w14:textFill>
        </w:rPr>
      </w:pPr>
      <w:r>
        <w:rPr>
          <w:rStyle w:val="13"/>
          <w:rFonts w:hint="eastAsia" w:asciiTheme="minorEastAsia" w:hAnsiTheme="minorEastAsia" w:eastAsiaTheme="minorEastAsia" w:cstheme="minorEastAsia"/>
          <w:color w:val="000000" w:themeColor="text1"/>
          <w:kern w:val="0"/>
          <w:szCs w:val="22"/>
          <w:highlight w:val="none"/>
          <w14:textFill>
            <w14:solidFill>
              <w14:schemeClr w14:val="tx1"/>
            </w14:solidFill>
          </w14:textFill>
        </w:rPr>
        <w:t>谈判服务费承诺书</w:t>
      </w:r>
    </w:p>
    <w:p>
      <w:pPr>
        <w:pStyle w:val="22"/>
        <w:jc w:val="center"/>
        <w:rPr>
          <w:rFonts w:hint="eastAsia" w:asciiTheme="minorEastAsia" w:hAnsiTheme="minorEastAsia" w:eastAsiaTheme="minorEastAsia" w:cstheme="minorEastAsia"/>
          <w:color w:val="000000" w:themeColor="text1"/>
          <w:sz w:val="21"/>
          <w:highlight w:val="none"/>
          <w14:textFill>
            <w14:solidFill>
              <w14:schemeClr w14:val="tx1"/>
            </w14:solidFill>
          </w14:textFill>
        </w:rPr>
      </w:pPr>
    </w:p>
    <w:p>
      <w:pPr>
        <w:spacing w:line="380" w:lineRule="exact"/>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p>
    <w:p>
      <w:pPr>
        <w:spacing w:line="380" w:lineRule="exac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我们在贵公司组织的</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项目谈判中报价（项目编号：</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），如获中选，我们保证按谈判文件的规定，以支票、汇票、电汇、现金或经贵公司认可的其他付款方式，向贵公司缴交谈判服务费。</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我方如违反上述承诺，所提交的上述项目的投标保证金将不予退还我方，我方对此无异议。</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附银行帐号信息，退保证金时请退至如下帐号：</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开户行：</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开户名称：</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 xml:space="preserve">   </w:t>
      </w:r>
    </w:p>
    <w:p>
      <w:pPr>
        <w:spacing w:line="360" w:lineRule="auto"/>
        <w:ind w:firstLine="480" w:firstLineChars="200"/>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帐号：</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 xml:space="preserve">                              </w:t>
      </w:r>
    </w:p>
    <w:p>
      <w:pPr>
        <w:spacing w:line="380" w:lineRule="exact"/>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pacing w:line="38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特此承诺！</w:t>
      </w:r>
    </w:p>
    <w:p>
      <w:pPr>
        <w:spacing w:line="38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pacing w:line="38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pacing w:line="38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spacing w:line="380" w:lineRule="exact"/>
        <w:ind w:firstLine="42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（签字）   </w:t>
      </w:r>
    </w:p>
    <w:p>
      <w:pPr>
        <w:pStyle w:val="9"/>
        <w:widowControl/>
        <w:spacing w:before="75" w:beforeAutospacing="0" w:after="75" w:afterAutospacing="0" w:line="435" w:lineRule="atLeas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供应商：</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highlight w:val="none"/>
          <w14:textFill>
            <w14:solidFill>
              <w14:schemeClr w14:val="tx1"/>
            </w14:solidFill>
          </w14:textFill>
        </w:rPr>
        <w:t>（全称并加盖公章）          </w:t>
      </w:r>
    </w:p>
    <w:p>
      <w:pPr>
        <w:pStyle w:val="9"/>
        <w:widowControl/>
        <w:spacing w:before="75" w:beforeAutospacing="0" w:after="75" w:afterAutospacing="0" w:line="435" w:lineRule="atLeast"/>
        <w:ind w:firstLine="480" w:firstLineChars="20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日  期：     年    月    日</w:t>
      </w: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pPr>
                          <w:r>
                            <w:fldChar w:fldCharType="begin"/>
                          </w:r>
                          <w:r>
                            <w:instrText xml:space="preserve"> PAGE  \* MERGEFORMAT </w:instrText>
                          </w:r>
                          <w:r>
                            <w:fldChar w:fldCharType="separate"/>
                          </w:r>
                          <w:r>
                            <w:t>31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1F2861"/>
    <w:multiLevelType w:val="singleLevel"/>
    <w:tmpl w:val="B01F2861"/>
    <w:lvl w:ilvl="0" w:tentative="0">
      <w:start w:val="1"/>
      <w:numFmt w:val="decimal"/>
      <w:lvlText w:val="%1."/>
      <w:lvlJc w:val="left"/>
      <w:pPr>
        <w:tabs>
          <w:tab w:val="left" w:pos="312"/>
        </w:tabs>
      </w:pPr>
      <w:rPr>
        <w:rFonts w:cs="Times New Roman"/>
      </w:rPr>
    </w:lvl>
  </w:abstractNum>
  <w:abstractNum w:abstractNumId="1">
    <w:nsid w:val="B581CB0B"/>
    <w:multiLevelType w:val="singleLevel"/>
    <w:tmpl w:val="B581CB0B"/>
    <w:lvl w:ilvl="0" w:tentative="0">
      <w:start w:val="1"/>
      <w:numFmt w:val="decimal"/>
      <w:suff w:val="nothing"/>
      <w:lvlText w:val="（%1）"/>
      <w:lvlJc w:val="left"/>
    </w:lvl>
  </w:abstractNum>
  <w:abstractNum w:abstractNumId="2">
    <w:nsid w:val="C35DB25B"/>
    <w:multiLevelType w:val="singleLevel"/>
    <w:tmpl w:val="C35DB25B"/>
    <w:lvl w:ilvl="0" w:tentative="0">
      <w:start w:val="1"/>
      <w:numFmt w:val="decimal"/>
      <w:suff w:val="space"/>
      <w:lvlText w:val="%1."/>
      <w:lvlJc w:val="left"/>
    </w:lvl>
  </w:abstractNum>
  <w:abstractNum w:abstractNumId="3">
    <w:nsid w:val="DA15EA04"/>
    <w:multiLevelType w:val="singleLevel"/>
    <w:tmpl w:val="DA15EA04"/>
    <w:lvl w:ilvl="0" w:tentative="0">
      <w:start w:val="1"/>
      <w:numFmt w:val="decimal"/>
      <w:suff w:val="nothing"/>
      <w:lvlText w:val="%1、"/>
      <w:lvlJc w:val="left"/>
    </w:lvl>
  </w:abstractNum>
  <w:abstractNum w:abstractNumId="4">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5">
    <w:nsid w:val="00000014"/>
    <w:multiLevelType w:val="multilevel"/>
    <w:tmpl w:val="00000014"/>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64"/>
        </w:tabs>
        <w:ind w:left="0" w:firstLine="425"/>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6">
    <w:nsid w:val="13CCF651"/>
    <w:multiLevelType w:val="singleLevel"/>
    <w:tmpl w:val="13CCF651"/>
    <w:lvl w:ilvl="0" w:tentative="0">
      <w:start w:val="2"/>
      <w:numFmt w:val="chineseCounting"/>
      <w:suff w:val="nothing"/>
      <w:lvlText w:val="%1、"/>
      <w:lvlJc w:val="left"/>
      <w:rPr>
        <w:rFonts w:hint="eastAsia" w:cs="Times New Roman"/>
      </w:rPr>
    </w:lvl>
  </w:abstractNum>
  <w:abstractNum w:abstractNumId="7">
    <w:nsid w:val="3B6C88FE"/>
    <w:multiLevelType w:val="singleLevel"/>
    <w:tmpl w:val="3B6C88FE"/>
    <w:lvl w:ilvl="0" w:tentative="0">
      <w:start w:val="1"/>
      <w:numFmt w:val="chineseCounting"/>
      <w:suff w:val="nothing"/>
      <w:lvlText w:val="%1、"/>
      <w:lvlJc w:val="left"/>
      <w:rPr>
        <w:rFonts w:hint="eastAsia" w:cs="Times New Roman"/>
      </w:rPr>
    </w:lvl>
  </w:abstractNum>
  <w:num w:numId="1">
    <w:abstractNumId w:val="0"/>
  </w:num>
  <w:num w:numId="2">
    <w:abstractNumId w:val="4"/>
  </w:num>
  <w:num w:numId="3">
    <w:abstractNumId w:val="1"/>
  </w:num>
  <w:num w:numId="4">
    <w:abstractNumId w:val="7"/>
  </w:num>
  <w:num w:numId="5">
    <w:abstractNumId w:val="2"/>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366"/>
    <w:rsid w:val="0000764A"/>
    <w:rsid w:val="00026B26"/>
    <w:rsid w:val="00036E89"/>
    <w:rsid w:val="0006006E"/>
    <w:rsid w:val="00065366"/>
    <w:rsid w:val="00070CE4"/>
    <w:rsid w:val="000A37CD"/>
    <w:rsid w:val="000E0EE6"/>
    <w:rsid w:val="0010670F"/>
    <w:rsid w:val="0017439D"/>
    <w:rsid w:val="00184BBA"/>
    <w:rsid w:val="001A1194"/>
    <w:rsid w:val="001B5D99"/>
    <w:rsid w:val="001D752F"/>
    <w:rsid w:val="00221FCB"/>
    <w:rsid w:val="00234121"/>
    <w:rsid w:val="00260DD9"/>
    <w:rsid w:val="002860F6"/>
    <w:rsid w:val="002C3C5E"/>
    <w:rsid w:val="002E596C"/>
    <w:rsid w:val="00356810"/>
    <w:rsid w:val="003D27D2"/>
    <w:rsid w:val="003D6E76"/>
    <w:rsid w:val="003E173A"/>
    <w:rsid w:val="003E51CB"/>
    <w:rsid w:val="004508CF"/>
    <w:rsid w:val="00456AE3"/>
    <w:rsid w:val="0051365E"/>
    <w:rsid w:val="00531595"/>
    <w:rsid w:val="00564DB9"/>
    <w:rsid w:val="00581815"/>
    <w:rsid w:val="005C3F3D"/>
    <w:rsid w:val="005D0E7F"/>
    <w:rsid w:val="005D5E18"/>
    <w:rsid w:val="00613013"/>
    <w:rsid w:val="00615A39"/>
    <w:rsid w:val="00686FE9"/>
    <w:rsid w:val="006D0F9E"/>
    <w:rsid w:val="0074571D"/>
    <w:rsid w:val="00781865"/>
    <w:rsid w:val="008546AB"/>
    <w:rsid w:val="00865BDA"/>
    <w:rsid w:val="00877D47"/>
    <w:rsid w:val="00882E28"/>
    <w:rsid w:val="008B5D61"/>
    <w:rsid w:val="00901BF7"/>
    <w:rsid w:val="00952C98"/>
    <w:rsid w:val="0097574E"/>
    <w:rsid w:val="00976EF3"/>
    <w:rsid w:val="009B0293"/>
    <w:rsid w:val="009B09CA"/>
    <w:rsid w:val="009B6A31"/>
    <w:rsid w:val="00A02C80"/>
    <w:rsid w:val="00A157B1"/>
    <w:rsid w:val="00A366F9"/>
    <w:rsid w:val="00A7461F"/>
    <w:rsid w:val="00AB3A3A"/>
    <w:rsid w:val="00AC5BF3"/>
    <w:rsid w:val="00AE1B5E"/>
    <w:rsid w:val="00AF10ED"/>
    <w:rsid w:val="00B07B08"/>
    <w:rsid w:val="00B15320"/>
    <w:rsid w:val="00B64694"/>
    <w:rsid w:val="00C27EA4"/>
    <w:rsid w:val="00C43740"/>
    <w:rsid w:val="00C71FA0"/>
    <w:rsid w:val="00C853F2"/>
    <w:rsid w:val="00C874C3"/>
    <w:rsid w:val="00C9752F"/>
    <w:rsid w:val="00C97544"/>
    <w:rsid w:val="00CA0EE9"/>
    <w:rsid w:val="00CE739C"/>
    <w:rsid w:val="00D609C5"/>
    <w:rsid w:val="00D7400A"/>
    <w:rsid w:val="00D976E4"/>
    <w:rsid w:val="00DB7D0E"/>
    <w:rsid w:val="00DE0D2D"/>
    <w:rsid w:val="00E005C1"/>
    <w:rsid w:val="00E0594E"/>
    <w:rsid w:val="00E27FF3"/>
    <w:rsid w:val="00E53C14"/>
    <w:rsid w:val="00E80CE4"/>
    <w:rsid w:val="00E937B9"/>
    <w:rsid w:val="00EA5156"/>
    <w:rsid w:val="00F110DB"/>
    <w:rsid w:val="00F31661"/>
    <w:rsid w:val="00F44523"/>
    <w:rsid w:val="00F45F9F"/>
    <w:rsid w:val="00F61559"/>
    <w:rsid w:val="00F61C3C"/>
    <w:rsid w:val="00FB4173"/>
    <w:rsid w:val="00FD1BA6"/>
    <w:rsid w:val="00FF526B"/>
    <w:rsid w:val="04630DA6"/>
    <w:rsid w:val="05147600"/>
    <w:rsid w:val="055A128A"/>
    <w:rsid w:val="08FD7106"/>
    <w:rsid w:val="09E65B3F"/>
    <w:rsid w:val="0A8C2D04"/>
    <w:rsid w:val="0A932AAA"/>
    <w:rsid w:val="0AE8510D"/>
    <w:rsid w:val="0B163E40"/>
    <w:rsid w:val="0BB22DBC"/>
    <w:rsid w:val="0CE54254"/>
    <w:rsid w:val="0D40156A"/>
    <w:rsid w:val="0E56273A"/>
    <w:rsid w:val="0FDF3271"/>
    <w:rsid w:val="1104506B"/>
    <w:rsid w:val="11213DEC"/>
    <w:rsid w:val="12355A70"/>
    <w:rsid w:val="128945AD"/>
    <w:rsid w:val="13DF0D41"/>
    <w:rsid w:val="144947B6"/>
    <w:rsid w:val="16286560"/>
    <w:rsid w:val="16C129C2"/>
    <w:rsid w:val="17494B43"/>
    <w:rsid w:val="18254BD8"/>
    <w:rsid w:val="1ABA6586"/>
    <w:rsid w:val="1B032AE9"/>
    <w:rsid w:val="1B153C3E"/>
    <w:rsid w:val="1B6F187C"/>
    <w:rsid w:val="1ECF3867"/>
    <w:rsid w:val="1FA1163F"/>
    <w:rsid w:val="20F70394"/>
    <w:rsid w:val="219C0203"/>
    <w:rsid w:val="226F78C7"/>
    <w:rsid w:val="263137FB"/>
    <w:rsid w:val="26DC6E8A"/>
    <w:rsid w:val="27C14E67"/>
    <w:rsid w:val="292A166D"/>
    <w:rsid w:val="29A11BE4"/>
    <w:rsid w:val="2AE432DC"/>
    <w:rsid w:val="2B436468"/>
    <w:rsid w:val="2B9E4C95"/>
    <w:rsid w:val="2C1B75D7"/>
    <w:rsid w:val="2C2D252D"/>
    <w:rsid w:val="31EA4E6A"/>
    <w:rsid w:val="32FC4311"/>
    <w:rsid w:val="33BA19CB"/>
    <w:rsid w:val="33F82B76"/>
    <w:rsid w:val="35841D04"/>
    <w:rsid w:val="378173D8"/>
    <w:rsid w:val="37F0026D"/>
    <w:rsid w:val="38161C63"/>
    <w:rsid w:val="39CC2A1F"/>
    <w:rsid w:val="3AE439C3"/>
    <w:rsid w:val="3D3A4917"/>
    <w:rsid w:val="3FE1039F"/>
    <w:rsid w:val="41056A9A"/>
    <w:rsid w:val="434D2FB9"/>
    <w:rsid w:val="44437CFB"/>
    <w:rsid w:val="44ED1B85"/>
    <w:rsid w:val="459F1692"/>
    <w:rsid w:val="45D11B62"/>
    <w:rsid w:val="46EF5703"/>
    <w:rsid w:val="4734166B"/>
    <w:rsid w:val="474775AC"/>
    <w:rsid w:val="49F42980"/>
    <w:rsid w:val="4F111024"/>
    <w:rsid w:val="500E36AB"/>
    <w:rsid w:val="50A91F62"/>
    <w:rsid w:val="51EC5E55"/>
    <w:rsid w:val="52137B8A"/>
    <w:rsid w:val="523B3539"/>
    <w:rsid w:val="537A03D9"/>
    <w:rsid w:val="54F80F61"/>
    <w:rsid w:val="551705CC"/>
    <w:rsid w:val="55A2785E"/>
    <w:rsid w:val="55BC2E97"/>
    <w:rsid w:val="561803FE"/>
    <w:rsid w:val="568230AA"/>
    <w:rsid w:val="57B7492C"/>
    <w:rsid w:val="58183AA3"/>
    <w:rsid w:val="58926B90"/>
    <w:rsid w:val="592126D8"/>
    <w:rsid w:val="5A5A4CED"/>
    <w:rsid w:val="5A9C34DF"/>
    <w:rsid w:val="5AA4657B"/>
    <w:rsid w:val="5B1A080D"/>
    <w:rsid w:val="5BD11374"/>
    <w:rsid w:val="5CA202AF"/>
    <w:rsid w:val="605E6224"/>
    <w:rsid w:val="62134D96"/>
    <w:rsid w:val="638C44FC"/>
    <w:rsid w:val="643A7236"/>
    <w:rsid w:val="644172F7"/>
    <w:rsid w:val="646600BC"/>
    <w:rsid w:val="64B42725"/>
    <w:rsid w:val="6530399E"/>
    <w:rsid w:val="662C7364"/>
    <w:rsid w:val="66550560"/>
    <w:rsid w:val="67540C59"/>
    <w:rsid w:val="6A5F47A3"/>
    <w:rsid w:val="6B785CF6"/>
    <w:rsid w:val="6CF1227E"/>
    <w:rsid w:val="6DCC353A"/>
    <w:rsid w:val="6E115A40"/>
    <w:rsid w:val="6FE6463D"/>
    <w:rsid w:val="72696324"/>
    <w:rsid w:val="7289273B"/>
    <w:rsid w:val="72DD322C"/>
    <w:rsid w:val="7656443D"/>
    <w:rsid w:val="7825660D"/>
    <w:rsid w:val="78574343"/>
    <w:rsid w:val="78B874D4"/>
    <w:rsid w:val="78B9024F"/>
    <w:rsid w:val="79856465"/>
    <w:rsid w:val="79BF2854"/>
    <w:rsid w:val="7BE46CD9"/>
    <w:rsid w:val="7CB03FE4"/>
    <w:rsid w:val="7D9A47E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5"/>
    <w:qFormat/>
    <w:locked/>
    <w:uiPriority w:val="99"/>
    <w:pPr>
      <w:spacing w:beforeAutospacing="1" w:afterAutospacing="1"/>
      <w:jc w:val="left"/>
      <w:outlineLvl w:val="1"/>
    </w:pPr>
    <w:rPr>
      <w:rFonts w:ascii="Cambria" w:hAnsi="Cambria"/>
      <w:b/>
      <w:bCs/>
      <w:kern w:val="0"/>
      <w:sz w:val="32"/>
      <w:szCs w:val="32"/>
    </w:rPr>
  </w:style>
  <w:style w:type="paragraph" w:styleId="3">
    <w:name w:val="heading 3"/>
    <w:basedOn w:val="1"/>
    <w:next w:val="1"/>
    <w:link w:val="16"/>
    <w:qFormat/>
    <w:uiPriority w:val="99"/>
    <w:pPr>
      <w:spacing w:beforeAutospacing="1" w:afterAutospacing="1"/>
      <w:jc w:val="left"/>
      <w:outlineLvl w:val="2"/>
    </w:pPr>
    <w:rPr>
      <w:b/>
      <w:kern w:val="0"/>
      <w:sz w:val="32"/>
      <w:szCs w:val="20"/>
    </w:rPr>
  </w:style>
  <w:style w:type="character" w:default="1" w:styleId="12">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99"/>
    <w:pPr>
      <w:jc w:val="left"/>
    </w:pPr>
    <w:rPr>
      <w:kern w:val="0"/>
      <w:sz w:val="24"/>
      <w:szCs w:val="20"/>
    </w:rPr>
  </w:style>
  <w:style w:type="paragraph" w:styleId="5">
    <w:name w:val="Plain Text"/>
    <w:basedOn w:val="1"/>
    <w:link w:val="18"/>
    <w:qFormat/>
    <w:uiPriority w:val="99"/>
    <w:rPr>
      <w:rFonts w:ascii="宋体" w:hAnsi="Courier New"/>
      <w:kern w:val="0"/>
      <w:sz w:val="20"/>
      <w:szCs w:val="21"/>
    </w:rPr>
  </w:style>
  <w:style w:type="paragraph" w:styleId="6">
    <w:name w:val="Balloon Text"/>
    <w:basedOn w:val="1"/>
    <w:link w:val="19"/>
    <w:qFormat/>
    <w:uiPriority w:val="99"/>
    <w:rPr>
      <w:sz w:val="18"/>
      <w:szCs w:val="20"/>
    </w:rPr>
  </w:style>
  <w:style w:type="paragraph" w:styleId="7">
    <w:name w:val="footer"/>
    <w:basedOn w:val="1"/>
    <w:link w:val="20"/>
    <w:qFormat/>
    <w:uiPriority w:val="99"/>
    <w:pPr>
      <w:tabs>
        <w:tab w:val="center" w:pos="4153"/>
        <w:tab w:val="right" w:pos="8306"/>
      </w:tabs>
      <w:snapToGrid w:val="0"/>
      <w:jc w:val="left"/>
    </w:pPr>
    <w:rPr>
      <w:kern w:val="0"/>
      <w:sz w:val="18"/>
      <w:szCs w:val="20"/>
    </w:rPr>
  </w:style>
  <w:style w:type="paragraph" w:styleId="8">
    <w:name w:val="header"/>
    <w:basedOn w:val="1"/>
    <w:link w:val="2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20"/>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cs="Times New Roman"/>
      <w:b/>
    </w:rPr>
  </w:style>
  <w:style w:type="character" w:styleId="14">
    <w:name w:val="annotation reference"/>
    <w:basedOn w:val="12"/>
    <w:qFormat/>
    <w:uiPriority w:val="99"/>
    <w:rPr>
      <w:rFonts w:cs="Times New Roman"/>
      <w:sz w:val="21"/>
    </w:rPr>
  </w:style>
  <w:style w:type="character" w:customStyle="1" w:styleId="15">
    <w:name w:val="Heading 2 Char"/>
    <w:basedOn w:val="12"/>
    <w:link w:val="2"/>
    <w:semiHidden/>
    <w:qFormat/>
    <w:locked/>
    <w:uiPriority w:val="99"/>
    <w:rPr>
      <w:rFonts w:ascii="Cambria" w:hAnsi="Cambria" w:eastAsia="宋体" w:cs="Times New Roman"/>
      <w:b/>
      <w:sz w:val="32"/>
    </w:rPr>
  </w:style>
  <w:style w:type="character" w:customStyle="1" w:styleId="16">
    <w:name w:val="Heading 3 Char"/>
    <w:basedOn w:val="12"/>
    <w:link w:val="3"/>
    <w:semiHidden/>
    <w:qFormat/>
    <w:locked/>
    <w:uiPriority w:val="99"/>
    <w:rPr>
      <w:rFonts w:ascii="Calibri" w:hAnsi="Calibri" w:cs="Times New Roman"/>
      <w:b/>
      <w:sz w:val="32"/>
    </w:rPr>
  </w:style>
  <w:style w:type="character" w:customStyle="1" w:styleId="17">
    <w:name w:val="Comment Text Char"/>
    <w:basedOn w:val="12"/>
    <w:link w:val="4"/>
    <w:semiHidden/>
    <w:qFormat/>
    <w:locked/>
    <w:uiPriority w:val="99"/>
    <w:rPr>
      <w:rFonts w:ascii="Calibri" w:hAnsi="Calibri" w:cs="Times New Roman"/>
      <w:sz w:val="24"/>
    </w:rPr>
  </w:style>
  <w:style w:type="character" w:customStyle="1" w:styleId="18">
    <w:name w:val="Plain Text Char"/>
    <w:basedOn w:val="12"/>
    <w:link w:val="5"/>
    <w:semiHidden/>
    <w:qFormat/>
    <w:locked/>
    <w:uiPriority w:val="99"/>
    <w:rPr>
      <w:rFonts w:ascii="宋体" w:hAnsi="Courier New" w:cs="Times New Roman"/>
      <w:sz w:val="21"/>
    </w:rPr>
  </w:style>
  <w:style w:type="character" w:customStyle="1" w:styleId="19">
    <w:name w:val="Balloon Text Char"/>
    <w:basedOn w:val="12"/>
    <w:link w:val="6"/>
    <w:qFormat/>
    <w:locked/>
    <w:uiPriority w:val="99"/>
    <w:rPr>
      <w:rFonts w:ascii="Calibri" w:hAnsi="Calibri" w:eastAsia="宋体" w:cs="Times New Roman"/>
      <w:kern w:val="2"/>
      <w:sz w:val="18"/>
    </w:rPr>
  </w:style>
  <w:style w:type="character" w:customStyle="1" w:styleId="20">
    <w:name w:val="Footer Char"/>
    <w:basedOn w:val="12"/>
    <w:link w:val="7"/>
    <w:semiHidden/>
    <w:qFormat/>
    <w:locked/>
    <w:uiPriority w:val="99"/>
    <w:rPr>
      <w:rFonts w:ascii="Calibri" w:hAnsi="Calibri" w:cs="Times New Roman"/>
      <w:sz w:val="18"/>
    </w:rPr>
  </w:style>
  <w:style w:type="character" w:customStyle="1" w:styleId="21">
    <w:name w:val="Header Char"/>
    <w:basedOn w:val="12"/>
    <w:link w:val="8"/>
    <w:semiHidden/>
    <w:qFormat/>
    <w:locked/>
    <w:uiPriority w:val="99"/>
    <w:rPr>
      <w:rFonts w:ascii="Calibri" w:hAnsi="Calibri" w:cs="Times New Roman"/>
      <w:sz w:val="18"/>
    </w:rPr>
  </w:style>
  <w:style w:type="paragraph" w:customStyle="1" w:styleId="22">
    <w:name w:val="样式3"/>
    <w:basedOn w:val="5"/>
    <w:qFormat/>
    <w:uiPriority w:val="99"/>
    <w:pPr>
      <w:spacing w:line="240" w:lineRule="atLeast"/>
      <w:outlineLvl w:val="0"/>
    </w:pPr>
    <w:rPr>
      <w:sz w:val="28"/>
    </w:rPr>
  </w:style>
  <w:style w:type="character" w:customStyle="1" w:styleId="23">
    <w:name w:val="font01"/>
    <w:qFormat/>
    <w:uiPriority w:val="99"/>
    <w:rPr>
      <w:rFonts w:ascii="宋体" w:hAnsi="宋体" w:eastAsia="宋体"/>
      <w:color w:val="000000"/>
      <w:sz w:val="20"/>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62</Pages>
  <Words>6061</Word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2019-01-10T03:33:00Z</dcterms:created>
  <dc:creator>Administrator</dc:creator>
  <cp:lastModifiedBy>Administrator</cp:lastModifiedBy>
  <cp:lastPrinted>2019-01-10T05:58:00Z</cp:lastPrinted>
  <dcterms:modified xsi:type="dcterms:W3CDTF">2019-12-03T03:50:46Z</dcterms:modified>
  <dc:title>泉州师范学院</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