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ascii="方正小标宋简体" w:hAnsi="宋体" w:eastAsia="方正小标宋简体"/>
          <w:color w:val="auto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五</w:t>
      </w:r>
      <w:r>
        <w:rPr>
          <w:rFonts w:ascii="方正小标宋简体" w:hAnsi="宋体" w:eastAsia="方正小标宋简体"/>
          <w:color w:val="auto"/>
          <w:sz w:val="44"/>
          <w:szCs w:val="44"/>
        </w:rPr>
        <w:t>期非公企业党务人才订单式培养培训（晋江）班报名表</w:t>
      </w:r>
    </w:p>
    <w:p>
      <w:pPr>
        <w:ind w:firstLine="340" w:firstLineChars="100"/>
        <w:rPr>
          <w:rFonts w:eastAsia="方正小标宋简体"/>
          <w:color w:val="auto"/>
          <w:spacing w:val="20"/>
          <w:sz w:val="36"/>
          <w:szCs w:val="36"/>
        </w:rPr>
      </w:pPr>
      <w:r>
        <w:rPr>
          <w:rFonts w:eastAsia="方正小标宋简体"/>
          <w:color w:val="auto"/>
          <w:spacing w:val="20"/>
          <w:sz w:val="30"/>
          <w:szCs w:val="30"/>
          <w:u w:val="single"/>
        </w:rPr>
        <w:t xml:space="preserve">             </w:t>
      </w:r>
      <w:r>
        <w:rPr>
          <w:rFonts w:eastAsia="方正小标宋简体"/>
          <w:color w:val="auto"/>
          <w:spacing w:val="20"/>
          <w:sz w:val="30"/>
          <w:szCs w:val="30"/>
        </w:rPr>
        <w:t>党委</w:t>
      </w:r>
      <w:r>
        <w:rPr>
          <w:rFonts w:hint="eastAsia" w:eastAsia="方正小标宋简体"/>
          <w:color w:val="auto"/>
          <w:spacing w:val="20"/>
          <w:sz w:val="30"/>
          <w:szCs w:val="30"/>
          <w:lang w:eastAsia="zh-CN"/>
        </w:rPr>
        <w:t>（党总支）</w:t>
      </w:r>
    </w:p>
    <w:tbl>
      <w:tblPr>
        <w:tblStyle w:val="2"/>
        <w:tblW w:w="1390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861"/>
        <w:gridCol w:w="2135"/>
        <w:gridCol w:w="2880"/>
        <w:gridCol w:w="2160"/>
        <w:gridCol w:w="2520"/>
        <w:gridCol w:w="20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班级及职务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bookmarkStart w:id="0" w:name="_GoBack"/>
          </w:p>
          <w:bookmarkEnd w:id="0"/>
          <w:p>
            <w:pPr>
              <w:adjustRightInd w:val="0"/>
              <w:snapToGrid w:val="0"/>
              <w:spacing w:line="320" w:lineRule="exact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方正黑体简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0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方正仿宋简体"/>
                <w:color w:val="auto"/>
                <w:sz w:val="28"/>
                <w:szCs w:val="28"/>
              </w:rPr>
            </w:pPr>
            <w:r>
              <w:rPr>
                <w:rFonts w:eastAsia="方正楷体简体"/>
                <w:color w:val="auto"/>
                <w:sz w:val="28"/>
                <w:szCs w:val="28"/>
              </w:rPr>
              <w:t>组长及联系方式：</w:t>
            </w:r>
          </w:p>
        </w:tc>
      </w:tr>
    </w:tbl>
    <w:p>
      <w:pPr>
        <w:spacing w:line="480" w:lineRule="exact"/>
        <w:ind w:left="63" w:leftChars="30"/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注：该表由各二级学院党委统一汇总后上报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74C6"/>
    <w:rsid w:val="356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FC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2019-06-20T12:32:00Z</dcterms:created>
  <dc:creator>范沁</dc:creator>
  <cp:lastModifiedBy>范沁</cp:lastModifiedBy>
  <dcterms:modified xsi:type="dcterms:W3CDTF">2019-06-20T12:33:01Z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