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rPr>
          <w:rFonts w:hint="eastAsia" w:ascii="黑体" w:eastAsia="黑体"/>
          <w:color w:val="FF0000"/>
          <w:szCs w:val="32"/>
        </w:rPr>
      </w:pPr>
    </w:p>
    <w:p>
      <w:pPr>
        <w:adjustRightInd w:val="0"/>
        <w:rPr>
          <w:rFonts w:hint="eastAsia" w:ascii="黑体" w:eastAsia="黑体"/>
          <w:color w:val="FF0000"/>
          <w:szCs w:val="32"/>
        </w:rPr>
      </w:pPr>
    </w:p>
    <w:p>
      <w:pPr>
        <w:adjustRightInd w:val="0"/>
        <w:jc w:val="center"/>
        <w:rPr>
          <w:rFonts w:hint="eastAsia" w:ascii="方正小标宋简体" w:hAnsi="方正小标宋简体" w:eastAsia="方正小标宋简体" w:cs="方正小标宋简体"/>
          <w:b/>
          <w:bCs/>
          <w:color w:val="FF0000"/>
          <w:spacing w:val="0"/>
          <w:sz w:val="72"/>
          <w:szCs w:val="72"/>
        </w:rPr>
      </w:pPr>
    </w:p>
    <w:p>
      <w:pPr>
        <w:jc w:val="center"/>
        <w:rPr>
          <w:rFonts w:hint="eastAsia" w:ascii="仿宋_GB2312"/>
          <w:sz w:val="28"/>
          <w:szCs w:val="28"/>
        </w:rPr>
      </w:pPr>
      <w:bookmarkStart w:id="0" w:name="机关代字"/>
      <w:bookmarkEnd w:id="0"/>
      <w:r>
        <mc:AlternateContent>
          <mc:Choice Requires="wps">
            <w:drawing>
              <wp:anchor distT="0" distB="0" distL="114300" distR="114300" simplePos="0" relativeHeight="251661312" behindDoc="0" locked="0" layoutInCell="1" allowOverlap="1">
                <wp:simplePos x="0" y="0"/>
                <wp:positionH relativeFrom="page">
                  <wp:posOffset>1007745</wp:posOffset>
                </wp:positionH>
                <wp:positionV relativeFrom="page">
                  <wp:posOffset>2592070</wp:posOffset>
                </wp:positionV>
                <wp:extent cx="5615940" cy="8483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15940" cy="848360"/>
                        </a:xfrm>
                        <a:prstGeom prst="rect">
                          <a:avLst/>
                        </a:prstGeom>
                        <a:noFill/>
                        <a:ln w="6350">
                          <a:noFill/>
                        </a:ln>
                        <a:effectLst/>
                      </wps:spPr>
                      <wps:txbx>
                        <w:txbxContent>
                          <w:p>
                            <w:pPr>
                              <w:spacing w:line="1060" w:lineRule="exact"/>
                              <w:jc w:val="center"/>
                              <w:rPr>
                                <w:rFonts w:hint="eastAsia" w:ascii="方正小标宋简体" w:hAnsi="方正小标宋简体" w:eastAsia="方正小标宋简体" w:cs="方正小标宋简体"/>
                                <w:color w:val="FFFFFF"/>
                                <w:spacing w:val="45"/>
                                <w:w w:val="70"/>
                                <w:position w:val="-6"/>
                                <w:sz w:val="102"/>
                                <w:szCs w:val="102"/>
                              </w:rPr>
                            </w:pPr>
                            <w:r>
                              <w:rPr>
                                <w:rFonts w:hint="eastAsia" w:ascii="方正小标宋简体" w:hAnsi="方正小标宋简体" w:eastAsia="方正小标宋简体" w:cs="方正小标宋简体"/>
                                <w:color w:val="FF0000"/>
                                <w:w w:val="70"/>
                                <w:position w:val="-6"/>
                                <w:sz w:val="106"/>
                                <w:szCs w:val="106"/>
                              </w:rPr>
                              <w:t>泉州师范学院教务处文件</w:t>
                            </w:r>
                          </w:p>
                        </w:txbxContent>
                      </wps:txbx>
                      <wps:bodyPr rot="0" spcFirstLastPara="0" vertOverflow="overflow" horzOverflow="overflow" vert="horz" wrap="square" lIns="0" tIns="0" rIns="0" bIns="0" numCol="1" spcCol="0" rtlCol="0" fromWordArt="0" anchor="t" anchorCtr="0" forceAA="0" compatLnSpc="1">
                        <a:noAutofit/>
                        <a:scene3d>
                          <a:camera prst="orthographicFront"/>
                          <a:lightRig rig="threePt" dir="t"/>
                        </a:scene3d>
                      </wps:bodyPr>
                    </wps:wsp>
                  </a:graphicData>
                </a:graphic>
              </wp:anchor>
            </w:drawing>
          </mc:Choice>
          <mc:Fallback>
            <w:pict>
              <v:shape id="_x0000_s1026" o:spid="_x0000_s1026" o:spt="202" type="#_x0000_t202" style="position:absolute;left:0pt;margin-left:79.35pt;margin-top:204.1pt;height:66.8pt;width:442.2pt;mso-position-horizontal-relative:page;mso-position-vertical-relative:page;z-index:251661312;mso-width-relative:page;mso-height-relative:page;" filled="f" stroked="f" coordsize="21600,21600" o:gfxdata="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DpW4rZAAAADAEAAA8AAAAAAAAAAQAgAAAAIgAAAGRycy9kb3ducmV2Lnht&#10;bFBLAQIUABQAAAAIAIdO4kDuGDrqagIAAMIEAAAOAAAAAAAAAAEAIAAAACgBAABkcnMvZTJvRG9j&#10;LnhtbFBLBQYAAAAABgAGAFkBAAAEBgAAAAA=&#10;">
                <v:fill on="f" focussize="0,0"/>
                <v:stroke on="f" weight="0.5pt"/>
                <v:imagedata o:title=""/>
                <o:lock v:ext="edit" aspectratio="f"/>
                <v:textbox inset="0mm,0mm,0mm,0mm">
                  <w:txbxContent>
                    <w:p>
                      <w:pPr>
                        <w:spacing w:line="1060" w:lineRule="exact"/>
                        <w:jc w:val="center"/>
                        <w:rPr>
                          <w:rFonts w:hint="eastAsia" w:ascii="方正小标宋简体" w:hAnsi="方正小标宋简体" w:eastAsia="方正小标宋简体" w:cs="方正小标宋简体"/>
                          <w:color w:val="FFFFFF"/>
                          <w:spacing w:val="45"/>
                          <w:w w:val="70"/>
                          <w:position w:val="-6"/>
                          <w:sz w:val="102"/>
                          <w:szCs w:val="102"/>
                        </w:rPr>
                      </w:pPr>
                      <w:r>
                        <w:rPr>
                          <w:rFonts w:hint="eastAsia" w:ascii="方正小标宋简体" w:hAnsi="方正小标宋简体" w:eastAsia="方正小标宋简体" w:cs="方正小标宋简体"/>
                          <w:color w:val="FF0000"/>
                          <w:w w:val="70"/>
                          <w:position w:val="-6"/>
                          <w:sz w:val="106"/>
                          <w:szCs w:val="106"/>
                        </w:rPr>
                        <w:t>泉州师范学院教务处文件</w:t>
                      </w:r>
                    </w:p>
                  </w:txbxContent>
                </v:textbox>
              </v:shape>
            </w:pict>
          </mc:Fallback>
        </mc:AlternateContent>
      </w:r>
    </w:p>
    <w:p>
      <w:pPr>
        <w:jc w:val="center"/>
        <w:rPr>
          <w:rFonts w:hint="eastAsia" w:ascii="仿宋_GB2312"/>
          <w:sz w:val="28"/>
          <w:szCs w:val="28"/>
        </w:rPr>
      </w:pPr>
    </w:p>
    <w:p>
      <w:pPr>
        <w:spacing w:line="500" w:lineRule="exact"/>
        <w:jc w:val="center"/>
        <w:rPr>
          <w:rFonts w:hint="eastAsia" w:ascii="仿宋_GB2312" w:hAnsi="仿宋_GB2312" w:eastAsia="仿宋_GB2312" w:cs="仿宋_GB2312"/>
          <w:kern w:val="0"/>
          <w:sz w:val="28"/>
          <w:szCs w:val="28"/>
        </w:rPr>
      </w:pPr>
    </w:p>
    <w:p>
      <w:pPr>
        <w:spacing w:line="500" w:lineRule="exact"/>
        <w:jc w:val="center"/>
        <w:rPr>
          <w:rFonts w:hint="eastAsia" w:ascii="仿宋_GB2312" w:hAnsi="仿宋_GB2312" w:eastAsia="仿宋_GB2312" w:cs="仿宋_GB2312"/>
          <w:kern w:val="0"/>
          <w:sz w:val="28"/>
          <w:szCs w:val="28"/>
        </w:rPr>
      </w:pPr>
    </w:p>
    <w:p>
      <w:pPr>
        <w:spacing w:line="500" w:lineRule="exact"/>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教务〔20</w:t>
      </w:r>
      <w:r>
        <w:rPr>
          <w:rFonts w:hint="eastAsia" w:ascii="仿宋_GB2312" w:hAnsi="仿宋_GB2312" w:eastAsia="仿宋_GB2312" w:cs="仿宋_GB2312"/>
          <w:kern w:val="0"/>
          <w:sz w:val="30"/>
          <w:szCs w:val="30"/>
          <w:lang w:val="en-US" w:eastAsia="zh-CN"/>
        </w:rPr>
        <w:t>21</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val="en-US" w:eastAsia="zh-CN"/>
        </w:rPr>
        <w:t>21</w:t>
      </w:r>
      <w:r>
        <w:rPr>
          <w:rFonts w:hint="eastAsia" w:ascii="仿宋_GB2312" w:hAnsi="仿宋_GB2312" w:eastAsia="仿宋_GB2312" w:cs="仿宋_GB2312"/>
          <w:kern w:val="0"/>
          <w:sz w:val="30"/>
          <w:szCs w:val="30"/>
        </w:rPr>
        <w:t>号</w:t>
      </w:r>
    </w:p>
    <w:p>
      <w:pPr>
        <w:spacing w:line="760" w:lineRule="exact"/>
        <w:jc w:val="center"/>
        <w:rPr>
          <w:rFonts w:hint="eastAsia" w:ascii="宋体" w:hAnsi="宋体"/>
          <w:b/>
          <w:sz w:val="30"/>
          <w:szCs w:val="30"/>
        </w:rPr>
      </w:pPr>
      <w:r>
        <w:rPr>
          <w:sz w:val="30"/>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49530</wp:posOffset>
                </wp:positionV>
                <wp:extent cx="547433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474335"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pt;margin-top:3.9pt;height:0.05pt;width:431.05pt;z-index:251660288;mso-width-relative:page;mso-height-relative:page;" filled="f" stroked="t" coordsize="21600,21600" o:gfxdata="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SoLdtUAAAAGAQAADwAAAAAAAAABACAAAAAiAAAAZHJzL2Rvd25yZXYu&#10;eG1sUEsBAhQAFAAAAAgAh07iQBrU2mv+AQAA9QMAAA4AAAAAAAAAAQAgAAAAJAEAAGRycy9lMm9E&#10;b2MueG1sUEsFBgAAAAAGAAYAWQEAAJQFAAAAAA==&#10;">
                <v:fill on="f" focussize="0,0"/>
                <v:stroke weight="1.5pt" color="#FF0000" joinstyle="round"/>
                <v:imagedata o:title=""/>
                <o:lock v:ext="edit" aspectratio="f"/>
              </v:line>
            </w:pict>
          </mc:Fallback>
        </mc:AlternateConten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333333"/>
          <w:spacing w:val="0"/>
          <w:sz w:val="44"/>
          <w:szCs w:val="44"/>
        </w:rPr>
      </w:pPr>
      <w:r>
        <w:rPr>
          <w:rFonts w:hint="eastAsia" w:ascii="方正小标宋简体" w:hAnsi="方正小标宋简体" w:eastAsia="方正小标宋简体" w:cs="方正小标宋简体"/>
          <w:color w:val="333333"/>
          <w:spacing w:val="0"/>
          <w:sz w:val="44"/>
          <w:szCs w:val="44"/>
        </w:rPr>
        <w:t>关于开展2021届本科生毕业</w:t>
      </w:r>
      <w:r>
        <w:rPr>
          <w:rFonts w:hint="eastAsia" w:ascii="方正小标宋简体" w:hAnsi="方正小标宋简体" w:eastAsia="方正小标宋简体" w:cs="方正小标宋简体"/>
          <w:color w:val="333333"/>
          <w:spacing w:val="0"/>
          <w:sz w:val="44"/>
          <w:szCs w:val="44"/>
          <w:lang w:val="en-US" w:eastAsia="zh-CN"/>
        </w:rPr>
        <w:t>论文</w:t>
      </w:r>
      <w:r>
        <w:rPr>
          <w:rFonts w:hint="eastAsia" w:ascii="方正小标宋简体" w:hAnsi="方正小标宋简体" w:eastAsia="方正小标宋简体" w:cs="方正小标宋简体"/>
          <w:color w:val="333333"/>
          <w:spacing w:val="0"/>
          <w:sz w:val="44"/>
          <w:szCs w:val="44"/>
        </w:rPr>
        <w:t>（</w:t>
      </w:r>
      <w:r>
        <w:rPr>
          <w:rFonts w:hint="eastAsia" w:ascii="方正小标宋简体" w:hAnsi="方正小标宋简体" w:eastAsia="方正小标宋简体" w:cs="方正小标宋简体"/>
          <w:color w:val="333333"/>
          <w:spacing w:val="0"/>
          <w:sz w:val="44"/>
          <w:szCs w:val="44"/>
          <w:lang w:val="en-US" w:eastAsia="zh-CN"/>
        </w:rPr>
        <w:t>设计</w:t>
      </w:r>
      <w:r>
        <w:rPr>
          <w:rFonts w:hint="eastAsia" w:ascii="方正小标宋简体" w:hAnsi="方正小标宋简体" w:eastAsia="方正小标宋简体" w:cs="方正小标宋简体"/>
          <w:color w:val="333333"/>
          <w:spacing w:val="0"/>
          <w:sz w:val="44"/>
          <w:szCs w:val="4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color w:val="333333"/>
          <w:spacing w:val="0"/>
          <w:sz w:val="44"/>
          <w:szCs w:val="44"/>
        </w:rPr>
        <w:t>抽检工作的通知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各</w:t>
      </w:r>
      <w:r>
        <w:rPr>
          <w:rFonts w:hint="eastAsia" w:ascii="仿宋_GB2312" w:hAnsi="仿宋_GB2312" w:eastAsia="仿宋_GB2312" w:cs="仿宋_GB2312"/>
          <w:color w:val="333333"/>
          <w:sz w:val="32"/>
          <w:szCs w:val="32"/>
          <w:lang w:val="en-US" w:eastAsia="zh-CN"/>
        </w:rPr>
        <w:t>二级学院</w:t>
      </w:r>
      <w:r>
        <w:rPr>
          <w:rFonts w:hint="eastAsia" w:ascii="仿宋_GB2312" w:hAnsi="仿宋_GB2312" w:eastAsia="仿宋_GB2312" w:cs="仿宋_GB2312"/>
          <w:color w:val="333333"/>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根据《教育部关于狠抓新时代全国高等学校本科教育工作会议精神落实的通知》（教高函[2018]8号）文件精神，</w:t>
      </w:r>
      <w:r>
        <w:rPr>
          <w:rFonts w:hint="eastAsia" w:ascii="仿宋_GB2312" w:hAnsi="仿宋_GB2312" w:eastAsia="仿宋_GB2312" w:cs="仿宋_GB2312"/>
          <w:color w:val="333333"/>
          <w:sz w:val="32"/>
          <w:szCs w:val="32"/>
          <w:lang w:val="en-US" w:eastAsia="zh-CN"/>
        </w:rPr>
        <w:t>为</w:t>
      </w:r>
      <w:r>
        <w:rPr>
          <w:rFonts w:hint="eastAsia" w:ascii="仿宋_GB2312" w:hAnsi="仿宋_GB2312" w:eastAsia="仿宋_GB2312" w:cs="仿宋_GB2312"/>
          <w:color w:val="333333"/>
          <w:sz w:val="32"/>
          <w:szCs w:val="32"/>
        </w:rPr>
        <w:t>进一步落实《本科毕业论文（设计）抽检办法（试行）》（教督[2020]5号）要求，确保本科生毕业论文（设计）质量</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学校将</w:t>
      </w:r>
      <w:r>
        <w:rPr>
          <w:rFonts w:hint="eastAsia" w:ascii="仿宋_GB2312" w:hAnsi="仿宋_GB2312" w:eastAsia="仿宋_GB2312" w:cs="仿宋_GB2312"/>
          <w:color w:val="333333"/>
          <w:sz w:val="32"/>
          <w:szCs w:val="32"/>
          <w:lang w:val="en-US" w:eastAsia="zh-CN"/>
        </w:rPr>
        <w:t>开展</w:t>
      </w:r>
      <w:r>
        <w:rPr>
          <w:rFonts w:hint="eastAsia" w:ascii="仿宋_GB2312" w:hAnsi="仿宋_GB2312" w:eastAsia="仿宋_GB2312" w:cs="仿宋_GB2312"/>
          <w:color w:val="333333"/>
          <w:sz w:val="32"/>
          <w:szCs w:val="32"/>
        </w:rPr>
        <w:t>本科生毕业论文（设计）抽检工作，现将具体要求通知如下：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黑体" w:hAnsi="黑体" w:eastAsia="黑体" w:cs="黑体"/>
          <w:b w:val="0"/>
          <w:bCs/>
          <w:sz w:val="32"/>
          <w:szCs w:val="32"/>
        </w:rPr>
      </w:pPr>
      <w:r>
        <w:rPr>
          <w:rStyle w:val="7"/>
          <w:rFonts w:hint="eastAsia" w:ascii="黑体" w:hAnsi="黑体" w:eastAsia="黑体" w:cs="黑体"/>
          <w:b w:val="0"/>
          <w:bCs/>
          <w:color w:val="333333"/>
          <w:sz w:val="32"/>
          <w:szCs w:val="32"/>
        </w:rPr>
        <w:t>一、抽检范围与比例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333333"/>
          <w:sz w:val="32"/>
          <w:szCs w:val="32"/>
          <w:lang w:val="en-US" w:eastAsia="zh-CN"/>
        </w:rPr>
      </w:pPr>
      <w:r>
        <w:rPr>
          <w:rFonts w:hint="eastAsia" w:ascii="楷体_GB2312" w:hAnsi="楷体_GB2312" w:eastAsia="楷体_GB2312" w:cs="楷体_GB2312"/>
          <w:b/>
          <w:bCs/>
          <w:color w:val="333333"/>
          <w:sz w:val="32"/>
          <w:szCs w:val="32"/>
          <w:lang w:val="en-US" w:eastAsia="zh-CN"/>
        </w:rPr>
        <w:t>（一）抽检范围：</w:t>
      </w:r>
      <w:r>
        <w:rPr>
          <w:rFonts w:hint="eastAsia" w:ascii="仿宋_GB2312" w:hAnsi="仿宋_GB2312" w:eastAsia="仿宋_GB2312" w:cs="仿宋_GB2312"/>
          <w:color w:val="333333"/>
          <w:sz w:val="32"/>
          <w:szCs w:val="32"/>
          <w:lang w:val="en-US" w:eastAsia="zh-CN"/>
        </w:rPr>
        <w:t>2021届本科毕业生毕业论文（设计）。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333333"/>
          <w:sz w:val="32"/>
          <w:szCs w:val="32"/>
          <w:lang w:val="en-US" w:eastAsia="zh-CN"/>
        </w:rPr>
      </w:pPr>
      <w:r>
        <w:rPr>
          <w:rFonts w:hint="eastAsia" w:ascii="楷体_GB2312" w:hAnsi="楷体_GB2312" w:eastAsia="楷体_GB2312" w:cs="楷体_GB2312"/>
          <w:b/>
          <w:bCs/>
          <w:color w:val="333333"/>
          <w:sz w:val="32"/>
          <w:szCs w:val="32"/>
          <w:lang w:val="en-US" w:eastAsia="zh-CN"/>
        </w:rPr>
        <w:t>（二）抽检比例：</w:t>
      </w:r>
      <w:r>
        <w:rPr>
          <w:rFonts w:hint="eastAsia" w:ascii="仿宋_GB2312" w:hAnsi="仿宋_GB2312" w:eastAsia="仿宋_GB2312" w:cs="仿宋_GB2312"/>
          <w:color w:val="333333"/>
          <w:sz w:val="32"/>
          <w:szCs w:val="32"/>
          <w:lang w:val="en-US" w:eastAsia="zh-CN"/>
        </w:rPr>
        <w:t>以专业类为单位抽取4</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每个专业至少抽取1篇。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Style w:val="7"/>
          <w:rFonts w:hint="eastAsia" w:ascii="黑体" w:hAnsi="黑体" w:eastAsia="黑体" w:cs="黑体"/>
          <w:b w:val="0"/>
          <w:bCs/>
          <w:color w:val="333333"/>
          <w:sz w:val="32"/>
          <w:szCs w:val="32"/>
          <w:lang w:val="en-US" w:eastAsia="zh-CN"/>
        </w:rPr>
      </w:pPr>
      <w:r>
        <w:rPr>
          <w:rStyle w:val="7"/>
          <w:rFonts w:hint="eastAsia" w:ascii="黑体" w:hAnsi="黑体" w:eastAsia="黑体" w:cs="黑体"/>
          <w:b w:val="0"/>
          <w:bCs/>
          <w:color w:val="333333"/>
          <w:sz w:val="32"/>
          <w:szCs w:val="32"/>
          <w:lang w:val="en-US" w:eastAsia="zh-CN"/>
        </w:rPr>
        <w:t>二、评审标准与依据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各学院应根据《泉州师范学院本科毕业论文（设计）工作管理规定》</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泉师教</w:t>
      </w:r>
      <w:r>
        <w:rPr>
          <w:rFonts w:hint="eastAsia" w:ascii="仿宋_GB2312" w:hAnsi="仿宋_GB2312" w:eastAsia="仿宋_GB2312" w:cs="仿宋_GB2312"/>
          <w:color w:val="333333"/>
          <w:sz w:val="32"/>
          <w:szCs w:val="32"/>
        </w:rPr>
        <w:t>[201</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43</w:t>
      </w:r>
      <w:r>
        <w:rPr>
          <w:rFonts w:hint="eastAsia" w:ascii="仿宋_GB2312" w:hAnsi="仿宋_GB2312" w:eastAsia="仿宋_GB2312" w:cs="仿宋_GB2312"/>
          <w:color w:val="333333"/>
          <w:sz w:val="32"/>
          <w:szCs w:val="32"/>
        </w:rPr>
        <w:t>号）</w:t>
      </w:r>
      <w:r>
        <w:rPr>
          <w:rFonts w:hint="eastAsia" w:ascii="仿宋_GB2312" w:hAnsi="仿宋_GB2312" w:eastAsia="仿宋_GB2312" w:cs="仿宋_GB2312"/>
          <w:color w:val="333333"/>
          <w:sz w:val="32"/>
          <w:szCs w:val="32"/>
          <w:lang w:val="en-US" w:eastAsia="zh-CN"/>
        </w:rPr>
        <w:t>，结合本学院学科专业特点，制订适用本学院的本科毕业论文（设计）工作的实施细则。学校管理规定与学院实施细则作为论文送审评议的标准与依据。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Style w:val="7"/>
          <w:rFonts w:hint="eastAsia" w:ascii="黑体" w:hAnsi="黑体" w:eastAsia="黑体" w:cs="黑体"/>
          <w:b w:val="0"/>
          <w:bCs/>
          <w:color w:val="333333"/>
          <w:sz w:val="32"/>
          <w:szCs w:val="32"/>
          <w:lang w:val="en-US" w:eastAsia="zh-CN"/>
        </w:rPr>
      </w:pPr>
      <w:r>
        <w:rPr>
          <w:rStyle w:val="7"/>
          <w:rFonts w:hint="eastAsia" w:ascii="黑体" w:hAnsi="黑体" w:eastAsia="黑体" w:cs="黑体"/>
          <w:b w:val="0"/>
          <w:bCs/>
          <w:color w:val="333333"/>
          <w:sz w:val="32"/>
          <w:szCs w:val="32"/>
          <w:lang w:val="en-US" w:eastAsia="zh-CN"/>
        </w:rPr>
        <w:t>三、工作流程与时间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_GB2312" w:hAnsi="楷体_GB2312" w:eastAsia="楷体_GB2312" w:cs="楷体_GB2312"/>
          <w:b/>
          <w:bCs/>
          <w:color w:val="333333"/>
          <w:sz w:val="32"/>
          <w:szCs w:val="32"/>
          <w:lang w:val="en-US" w:eastAsia="zh-CN"/>
        </w:rPr>
      </w:pPr>
      <w:r>
        <w:rPr>
          <w:rFonts w:hint="eastAsia" w:ascii="楷体_GB2312" w:hAnsi="楷体_GB2312" w:eastAsia="楷体_GB2312" w:cs="楷体_GB2312"/>
          <w:b/>
          <w:bCs/>
          <w:color w:val="333333"/>
          <w:sz w:val="32"/>
          <w:szCs w:val="32"/>
          <w:lang w:val="en-US" w:eastAsia="zh-CN"/>
        </w:rPr>
        <w:t>（一）学校公布抽查名单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教务处于</w:t>
      </w:r>
      <w:r>
        <w:rPr>
          <w:rFonts w:hint="eastAsia" w:ascii="仿宋_GB2312" w:hAnsi="仿宋_GB2312" w:eastAsia="仿宋_GB2312" w:cs="仿宋_GB2312"/>
          <w:color w:val="333333"/>
          <w:sz w:val="32"/>
          <w:szCs w:val="32"/>
          <w:u w:val="single"/>
          <w:lang w:val="en-US" w:eastAsia="zh-CN"/>
        </w:rPr>
        <w:t>5月份</w:t>
      </w:r>
      <w:r>
        <w:rPr>
          <w:rFonts w:hint="eastAsia" w:ascii="仿宋_GB2312" w:hAnsi="仿宋_GB2312" w:eastAsia="仿宋_GB2312" w:cs="仿宋_GB2312"/>
          <w:color w:val="333333"/>
          <w:sz w:val="32"/>
          <w:szCs w:val="32"/>
          <w:lang w:val="en-US" w:eastAsia="zh-CN"/>
        </w:rPr>
        <w:t>向各学院公布随机抽查的名单。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_GB2312" w:hAnsi="楷体_GB2312" w:eastAsia="楷体_GB2312" w:cs="楷体_GB2312"/>
          <w:b/>
          <w:bCs/>
          <w:color w:val="333333"/>
          <w:sz w:val="32"/>
          <w:szCs w:val="32"/>
          <w:lang w:val="en-US" w:eastAsia="zh-CN"/>
        </w:rPr>
      </w:pPr>
      <w:r>
        <w:rPr>
          <w:rFonts w:hint="eastAsia" w:ascii="楷体_GB2312" w:hAnsi="楷体_GB2312" w:eastAsia="楷体_GB2312" w:cs="楷体_GB2312"/>
          <w:b/>
          <w:bCs/>
          <w:color w:val="333333"/>
          <w:sz w:val="32"/>
          <w:szCs w:val="32"/>
          <w:lang w:val="en-US" w:eastAsia="zh-CN"/>
        </w:rPr>
        <w:t>（二）二级学院提交毕业论文（设计）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rPr>
        <w:t>被抽中送审的</w:t>
      </w:r>
      <w:r>
        <w:rPr>
          <w:rFonts w:hint="eastAsia" w:ascii="仿宋_GB2312" w:hAnsi="仿宋_GB2312" w:eastAsia="仿宋_GB2312" w:cs="仿宋_GB2312"/>
          <w:color w:val="333333"/>
          <w:sz w:val="32"/>
          <w:szCs w:val="32"/>
          <w:lang w:val="en-US" w:eastAsia="zh-CN"/>
        </w:rPr>
        <w:t>毕业</w:t>
      </w:r>
      <w:r>
        <w:rPr>
          <w:rFonts w:hint="eastAsia" w:ascii="仿宋_GB2312" w:hAnsi="仿宋_GB2312" w:eastAsia="仿宋_GB2312" w:cs="仿宋_GB2312"/>
          <w:color w:val="333333"/>
          <w:sz w:val="32"/>
          <w:szCs w:val="32"/>
        </w:rPr>
        <w:t>论文</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设计</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eastAsia="zh-CN"/>
        </w:rPr>
        <w:t>由</w:t>
      </w:r>
      <w:r>
        <w:rPr>
          <w:rFonts w:hint="eastAsia" w:ascii="仿宋_GB2312" w:hAnsi="仿宋_GB2312" w:eastAsia="仿宋_GB2312" w:cs="仿宋_GB2312"/>
          <w:color w:val="333333"/>
          <w:sz w:val="32"/>
          <w:szCs w:val="32"/>
          <w:lang w:val="en-US" w:eastAsia="zh-CN"/>
        </w:rPr>
        <w:t>各学院</w:t>
      </w:r>
      <w:r>
        <w:rPr>
          <w:rFonts w:hint="eastAsia" w:ascii="仿宋_GB2312" w:hAnsi="仿宋_GB2312" w:eastAsia="仿宋_GB2312" w:cs="仿宋_GB2312"/>
          <w:color w:val="333333"/>
          <w:sz w:val="32"/>
          <w:szCs w:val="32"/>
          <w:lang w:eastAsia="zh-CN"/>
        </w:rPr>
        <w:t>组织学生按</w:t>
      </w:r>
      <w:r>
        <w:rPr>
          <w:rFonts w:hint="eastAsia" w:ascii="仿宋_GB2312" w:hAnsi="仿宋_GB2312" w:eastAsia="仿宋_GB2312" w:cs="仿宋_GB2312"/>
          <w:color w:val="333333"/>
          <w:sz w:val="32"/>
          <w:szCs w:val="32"/>
          <w:lang w:val="en-US" w:eastAsia="zh-CN"/>
        </w:rPr>
        <w:t>要求</w:t>
      </w:r>
      <w:r>
        <w:rPr>
          <w:rFonts w:hint="eastAsia" w:ascii="仿宋_GB2312" w:hAnsi="仿宋_GB2312" w:eastAsia="仿宋_GB2312" w:cs="仿宋_GB2312"/>
          <w:color w:val="333333"/>
          <w:sz w:val="32"/>
          <w:szCs w:val="32"/>
        </w:rPr>
        <w:t>提交</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具体事项另行通知。</w:t>
      </w:r>
      <w:r>
        <w:rPr>
          <w:rStyle w:val="7"/>
          <w:rFonts w:hint="eastAsia" w:ascii="仿宋_GB2312" w:hAnsi="仿宋_GB2312" w:eastAsia="仿宋_GB2312" w:cs="仿宋_GB2312"/>
          <w:color w:val="333333"/>
          <w:sz w:val="32"/>
          <w:szCs w:val="32"/>
        </w:rPr>
        <w:t>逾期未按要求提交送审材料的学生以论文送审“不合格”认定</w:t>
      </w:r>
      <w:r>
        <w:rPr>
          <w:rStyle w:val="7"/>
          <w:rFonts w:hint="eastAsia" w:ascii="仿宋_GB2312" w:hAnsi="仿宋_GB2312" w:eastAsia="仿宋_GB2312" w:cs="仿宋_GB2312"/>
          <w:color w:val="333333"/>
          <w:sz w:val="32"/>
          <w:szCs w:val="32"/>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_GB2312" w:hAnsi="楷体_GB2312" w:eastAsia="楷体_GB2312" w:cs="楷体_GB2312"/>
          <w:b/>
          <w:bCs/>
          <w:color w:val="333333"/>
          <w:sz w:val="32"/>
          <w:szCs w:val="32"/>
          <w:lang w:val="en-US" w:eastAsia="zh-CN"/>
        </w:rPr>
      </w:pPr>
      <w:r>
        <w:rPr>
          <w:rFonts w:hint="eastAsia" w:ascii="楷体_GB2312" w:hAnsi="楷体_GB2312" w:eastAsia="楷体_GB2312" w:cs="楷体_GB2312"/>
          <w:b/>
          <w:bCs/>
          <w:color w:val="333333"/>
          <w:sz w:val="32"/>
          <w:szCs w:val="32"/>
          <w:lang w:val="en-US" w:eastAsia="zh-CN"/>
        </w:rPr>
        <w:t>（三）学校组织论文送审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lang w:eastAsia="zh-CN"/>
        </w:rPr>
        <w:t>每篇毕业论文（设计）</w:t>
      </w:r>
      <w:r>
        <w:rPr>
          <w:rFonts w:hint="eastAsia" w:ascii="仿宋_GB2312" w:hAnsi="仿宋_GB2312" w:eastAsia="仿宋_GB2312" w:cs="仿宋_GB2312"/>
          <w:color w:val="333333"/>
          <w:sz w:val="32"/>
          <w:szCs w:val="32"/>
        </w:rPr>
        <w:t>聘请2位专家</w:t>
      </w:r>
      <w:r>
        <w:rPr>
          <w:rFonts w:hint="eastAsia" w:ascii="仿宋_GB2312" w:hAnsi="仿宋_GB2312" w:eastAsia="仿宋_GB2312" w:cs="仿宋_GB2312"/>
          <w:color w:val="333333"/>
          <w:sz w:val="32"/>
          <w:szCs w:val="32"/>
          <w:lang w:eastAsia="zh-CN"/>
        </w:rPr>
        <w:t>评</w:t>
      </w:r>
      <w:r>
        <w:rPr>
          <w:rFonts w:hint="eastAsia" w:ascii="仿宋_GB2312" w:hAnsi="仿宋_GB2312" w:eastAsia="仿宋_GB2312" w:cs="仿宋_GB2312"/>
          <w:color w:val="333333"/>
          <w:sz w:val="32"/>
          <w:szCs w:val="32"/>
        </w:rPr>
        <w:t>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_GB2312" w:hAnsi="楷体_GB2312" w:eastAsia="楷体_GB2312" w:cs="楷体_GB2312"/>
          <w:b/>
          <w:bCs/>
          <w:color w:val="333333"/>
          <w:sz w:val="32"/>
          <w:szCs w:val="32"/>
          <w:lang w:val="en-US" w:eastAsia="zh-CN"/>
        </w:rPr>
      </w:pPr>
      <w:r>
        <w:rPr>
          <w:rFonts w:hint="eastAsia" w:ascii="楷体_GB2312" w:hAnsi="楷体_GB2312" w:eastAsia="楷体_GB2312" w:cs="楷体_GB2312"/>
          <w:b/>
          <w:bCs/>
          <w:color w:val="333333"/>
          <w:sz w:val="32"/>
          <w:szCs w:val="32"/>
          <w:lang w:val="en-US" w:eastAsia="zh-CN"/>
        </w:rPr>
        <w:t>（四）学校反馈送审结果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教务处</w:t>
      </w:r>
      <w:r>
        <w:rPr>
          <w:rFonts w:hint="eastAsia" w:ascii="仿宋_GB2312" w:hAnsi="仿宋_GB2312" w:eastAsia="仿宋_GB2312" w:cs="仿宋_GB2312"/>
          <w:color w:val="333333"/>
          <w:sz w:val="32"/>
          <w:szCs w:val="32"/>
          <w:lang w:val="en-US" w:eastAsia="zh-CN"/>
        </w:rPr>
        <w:t>于收到论文</w:t>
      </w:r>
      <w:r>
        <w:rPr>
          <w:rFonts w:hint="eastAsia" w:ascii="仿宋_GB2312" w:hAnsi="仿宋_GB2312" w:eastAsia="仿宋_GB2312" w:cs="仿宋_GB2312"/>
          <w:color w:val="333333"/>
          <w:sz w:val="32"/>
          <w:szCs w:val="32"/>
          <w:u w:val="single"/>
          <w:lang w:val="en-US" w:eastAsia="zh-CN"/>
        </w:rPr>
        <w:t>两周内</w:t>
      </w:r>
      <w:r>
        <w:rPr>
          <w:rFonts w:hint="eastAsia" w:ascii="仿宋_GB2312" w:hAnsi="仿宋_GB2312" w:eastAsia="仿宋_GB2312" w:cs="仿宋_GB2312"/>
          <w:color w:val="333333"/>
          <w:sz w:val="32"/>
          <w:szCs w:val="32"/>
          <w:lang w:val="en-US" w:eastAsia="zh-CN"/>
        </w:rPr>
        <w:t>将</w:t>
      </w:r>
      <w:r>
        <w:rPr>
          <w:rFonts w:hint="eastAsia" w:ascii="仿宋_GB2312" w:hAnsi="仿宋_GB2312" w:eastAsia="仿宋_GB2312" w:cs="仿宋_GB2312"/>
          <w:color w:val="333333"/>
          <w:sz w:val="32"/>
          <w:szCs w:val="32"/>
        </w:rPr>
        <w:t>送审结论</w:t>
      </w:r>
      <w:r>
        <w:rPr>
          <w:rFonts w:hint="eastAsia" w:ascii="仿宋_GB2312" w:hAnsi="仿宋_GB2312" w:eastAsia="仿宋_GB2312" w:cs="仿宋_GB2312"/>
          <w:color w:val="333333"/>
          <w:sz w:val="32"/>
          <w:szCs w:val="32"/>
          <w:lang w:eastAsia="zh-CN"/>
        </w:rPr>
        <w:t>反馈给相关</w:t>
      </w:r>
      <w:r>
        <w:rPr>
          <w:rFonts w:hint="eastAsia" w:ascii="仿宋_GB2312" w:hAnsi="仿宋_GB2312" w:eastAsia="仿宋_GB2312" w:cs="仿宋_GB2312"/>
          <w:color w:val="333333"/>
          <w:sz w:val="32"/>
          <w:szCs w:val="32"/>
          <w:lang w:val="en-US" w:eastAsia="zh-CN"/>
        </w:rPr>
        <w:t>学院</w:t>
      </w:r>
      <w:r>
        <w:rPr>
          <w:rFonts w:hint="eastAsia" w:ascii="仿宋_GB2312" w:hAnsi="仿宋_GB2312" w:eastAsia="仿宋_GB2312" w:cs="仿宋_GB2312"/>
          <w:color w:val="333333"/>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_GB2312" w:hAnsi="楷体_GB2312" w:eastAsia="楷体_GB2312" w:cs="楷体_GB2312"/>
          <w:b/>
          <w:bCs/>
          <w:color w:val="333333"/>
          <w:sz w:val="32"/>
          <w:szCs w:val="32"/>
          <w:lang w:val="en-US" w:eastAsia="zh-CN"/>
        </w:rPr>
      </w:pPr>
      <w:r>
        <w:rPr>
          <w:rFonts w:hint="eastAsia" w:ascii="楷体_GB2312" w:hAnsi="楷体_GB2312" w:eastAsia="楷体_GB2312" w:cs="楷体_GB2312"/>
          <w:b/>
          <w:bCs/>
          <w:color w:val="333333"/>
          <w:sz w:val="32"/>
          <w:szCs w:val="32"/>
          <w:lang w:val="en-US" w:eastAsia="zh-CN"/>
        </w:rPr>
        <w:t>（五）学校组织论文复审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送审结论为“不合格”的论文须参加复</w:t>
      </w:r>
      <w:r>
        <w:rPr>
          <w:rFonts w:hint="eastAsia" w:ascii="仿宋_GB2312" w:hAnsi="仿宋_GB2312" w:eastAsia="仿宋_GB2312" w:cs="仿宋_GB2312"/>
          <w:color w:val="333333"/>
          <w:sz w:val="32"/>
          <w:szCs w:val="32"/>
          <w:lang w:val="en-US" w:eastAsia="zh-CN"/>
        </w:rPr>
        <w:t>审</w:t>
      </w:r>
      <w:r>
        <w:rPr>
          <w:rFonts w:hint="eastAsia" w:ascii="仿宋_GB2312" w:hAnsi="仿宋_GB2312" w:eastAsia="仿宋_GB2312" w:cs="仿宋_GB2312"/>
          <w:color w:val="333333"/>
          <w:sz w:val="32"/>
          <w:szCs w:val="32"/>
        </w:rPr>
        <w:t>，学生</w:t>
      </w:r>
      <w:r>
        <w:rPr>
          <w:rFonts w:hint="eastAsia" w:ascii="仿宋_GB2312" w:hAnsi="仿宋_GB2312" w:eastAsia="仿宋_GB2312" w:cs="仿宋_GB2312"/>
          <w:color w:val="333333"/>
          <w:sz w:val="32"/>
          <w:szCs w:val="32"/>
          <w:lang w:val="en-US" w:eastAsia="zh-CN"/>
        </w:rPr>
        <w:t>在收到送审结论两周内</w:t>
      </w:r>
      <w:r>
        <w:rPr>
          <w:rFonts w:hint="eastAsia" w:ascii="仿宋_GB2312" w:hAnsi="仿宋_GB2312" w:eastAsia="仿宋_GB2312" w:cs="仿宋_GB2312"/>
          <w:color w:val="333333"/>
          <w:sz w:val="32"/>
          <w:szCs w:val="32"/>
        </w:rPr>
        <w:t>修改论文并提交</w:t>
      </w:r>
      <w:r>
        <w:rPr>
          <w:rFonts w:hint="eastAsia" w:ascii="仿宋_GB2312" w:hAnsi="仿宋_GB2312" w:eastAsia="仿宋_GB2312" w:cs="仿宋_GB2312"/>
          <w:color w:val="333333"/>
          <w:sz w:val="32"/>
          <w:szCs w:val="32"/>
          <w:lang w:val="en-US" w:eastAsia="zh-CN"/>
        </w:rPr>
        <w:t>给教务处</w:t>
      </w:r>
      <w:r>
        <w:rPr>
          <w:rFonts w:hint="eastAsia" w:ascii="仿宋_GB2312" w:hAnsi="仿宋_GB2312" w:eastAsia="仿宋_GB2312" w:cs="仿宋_GB2312"/>
          <w:color w:val="333333"/>
          <w:sz w:val="32"/>
          <w:szCs w:val="32"/>
        </w:rPr>
        <w:t>，进行</w:t>
      </w:r>
      <w:r>
        <w:rPr>
          <w:rFonts w:hint="eastAsia" w:ascii="仿宋_GB2312" w:hAnsi="仿宋_GB2312" w:eastAsia="仿宋_GB2312" w:cs="仿宋_GB2312"/>
          <w:color w:val="333333"/>
          <w:sz w:val="32"/>
          <w:szCs w:val="32"/>
          <w:lang w:val="en-US" w:eastAsia="zh-CN"/>
        </w:rPr>
        <w:t>论文复审</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教务处在收到复审论文一周内并</w:t>
      </w:r>
      <w:r>
        <w:rPr>
          <w:rFonts w:hint="eastAsia" w:ascii="仿宋_GB2312" w:hAnsi="仿宋_GB2312" w:eastAsia="仿宋_GB2312" w:cs="仿宋_GB2312"/>
          <w:color w:val="333333"/>
          <w:sz w:val="32"/>
          <w:szCs w:val="32"/>
        </w:rPr>
        <w:t>将结果反馈给各</w:t>
      </w:r>
      <w:r>
        <w:rPr>
          <w:rFonts w:hint="eastAsia" w:ascii="仿宋_GB2312" w:hAnsi="仿宋_GB2312" w:eastAsia="仿宋_GB2312" w:cs="仿宋_GB2312"/>
          <w:color w:val="333333"/>
          <w:sz w:val="32"/>
          <w:szCs w:val="32"/>
          <w:lang w:val="en-US" w:eastAsia="zh-CN"/>
        </w:rPr>
        <w:t>学院</w:t>
      </w:r>
      <w:r>
        <w:rPr>
          <w:rFonts w:hint="eastAsia" w:ascii="仿宋_GB2312" w:hAnsi="仿宋_GB2312" w:eastAsia="仿宋_GB2312" w:cs="仿宋_GB2312"/>
          <w:color w:val="333333"/>
          <w:sz w:val="32"/>
          <w:szCs w:val="32"/>
        </w:rPr>
        <w:t>。</w:t>
      </w:r>
      <w:r>
        <w:rPr>
          <w:rStyle w:val="7"/>
          <w:rFonts w:hint="eastAsia" w:ascii="仿宋_GB2312" w:hAnsi="仿宋_GB2312" w:eastAsia="仿宋_GB2312" w:cs="仿宋_GB2312"/>
          <w:color w:val="333333"/>
          <w:sz w:val="32"/>
          <w:szCs w:val="32"/>
        </w:rPr>
        <w:t>须参加</w:t>
      </w:r>
      <w:r>
        <w:rPr>
          <w:rStyle w:val="7"/>
          <w:rFonts w:hint="eastAsia" w:ascii="仿宋_GB2312" w:hAnsi="仿宋_GB2312" w:eastAsia="仿宋_GB2312" w:cs="仿宋_GB2312"/>
          <w:color w:val="333333"/>
          <w:sz w:val="32"/>
          <w:szCs w:val="32"/>
          <w:lang w:val="en-US" w:eastAsia="zh-CN"/>
        </w:rPr>
        <w:t>复审</w:t>
      </w:r>
      <w:r>
        <w:rPr>
          <w:rStyle w:val="7"/>
          <w:rFonts w:hint="eastAsia" w:ascii="仿宋_GB2312" w:hAnsi="仿宋_GB2312" w:eastAsia="仿宋_GB2312" w:cs="仿宋_GB2312"/>
          <w:color w:val="333333"/>
          <w:sz w:val="32"/>
          <w:szCs w:val="32"/>
        </w:rPr>
        <w:t>的学生若逾期未按要求提交材料，则毕业论文（设计）成绩作“不及格”认定。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Style w:val="7"/>
          <w:rFonts w:hint="eastAsia" w:ascii="黑体" w:hAnsi="黑体" w:eastAsia="黑体" w:cs="黑体"/>
          <w:b w:val="0"/>
          <w:bCs/>
          <w:color w:val="333333"/>
          <w:sz w:val="32"/>
          <w:szCs w:val="32"/>
          <w:lang w:val="en-US" w:eastAsia="zh-CN"/>
        </w:rPr>
      </w:pPr>
      <w:r>
        <w:rPr>
          <w:rStyle w:val="7"/>
          <w:rFonts w:hint="eastAsia" w:ascii="黑体" w:hAnsi="黑体" w:eastAsia="黑体" w:cs="黑体"/>
          <w:b w:val="0"/>
          <w:bCs/>
          <w:color w:val="333333"/>
          <w:sz w:val="32"/>
          <w:szCs w:val="32"/>
          <w:lang w:val="en-US" w:eastAsia="zh-CN"/>
        </w:rPr>
        <w:t>四、抽查结果与处理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_GB2312" w:hAnsi="楷体_GB2312" w:eastAsia="楷体_GB2312" w:cs="楷体_GB2312"/>
          <w:b/>
          <w:bCs/>
          <w:color w:val="333333"/>
          <w:sz w:val="32"/>
          <w:szCs w:val="32"/>
          <w:lang w:val="en-US" w:eastAsia="zh-CN"/>
        </w:rPr>
      </w:pPr>
      <w:r>
        <w:rPr>
          <w:rFonts w:hint="eastAsia" w:ascii="楷体_GB2312" w:hAnsi="楷体_GB2312" w:eastAsia="楷体_GB2312" w:cs="楷体_GB2312"/>
          <w:b/>
          <w:bCs/>
          <w:color w:val="333333"/>
          <w:sz w:val="32"/>
          <w:szCs w:val="32"/>
          <w:lang w:val="en-US" w:eastAsia="zh-CN"/>
        </w:rPr>
        <w:t>（一）评审等级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333333"/>
          <w:sz w:val="32"/>
          <w:szCs w:val="32"/>
        </w:rPr>
        <w:t>送审结论分为“合格”、“不合格”两个评判等级</w:t>
      </w:r>
      <w:r>
        <w:rPr>
          <w:rFonts w:hint="eastAsia" w:ascii="仿宋_GB2312" w:hAnsi="仿宋_GB2312" w:eastAsia="仿宋_GB2312" w:cs="仿宋_GB2312"/>
          <w:color w:val="333333"/>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lang w:eastAsia="zh-CN"/>
        </w:rPr>
        <w:t>两位</w:t>
      </w:r>
      <w:r>
        <w:rPr>
          <w:rFonts w:hint="eastAsia" w:ascii="仿宋_GB2312" w:hAnsi="仿宋_GB2312" w:eastAsia="仿宋_GB2312" w:cs="仿宋_GB2312"/>
          <w:color w:val="333333"/>
          <w:sz w:val="32"/>
          <w:szCs w:val="32"/>
        </w:rPr>
        <w:t>专家评定意见一致认定为“合格”的论文，则抽检</w:t>
      </w:r>
      <w:r>
        <w:rPr>
          <w:rFonts w:hint="eastAsia" w:ascii="仿宋_GB2312" w:hAnsi="仿宋_GB2312" w:eastAsia="仿宋_GB2312" w:cs="仿宋_GB2312"/>
          <w:color w:val="333333"/>
          <w:sz w:val="32"/>
          <w:szCs w:val="32"/>
          <w:lang w:eastAsia="zh-CN"/>
        </w:rPr>
        <w:t>合格</w:t>
      </w:r>
      <w:r>
        <w:rPr>
          <w:rFonts w:hint="eastAsia" w:ascii="仿宋_GB2312" w:hAnsi="仿宋_GB2312" w:eastAsia="仿宋_GB2312" w:cs="仿宋_GB2312"/>
          <w:color w:val="333333"/>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lang w:eastAsia="zh-CN"/>
        </w:rPr>
        <w:t>一位</w:t>
      </w:r>
      <w:r>
        <w:rPr>
          <w:rFonts w:hint="eastAsia" w:ascii="仿宋_GB2312" w:hAnsi="仿宋_GB2312" w:eastAsia="仿宋_GB2312" w:cs="仿宋_GB2312"/>
          <w:color w:val="333333"/>
          <w:sz w:val="32"/>
          <w:szCs w:val="32"/>
        </w:rPr>
        <w:t>专家评定为“合格”，</w:t>
      </w:r>
      <w:r>
        <w:rPr>
          <w:rFonts w:hint="eastAsia" w:ascii="仿宋_GB2312" w:hAnsi="仿宋_GB2312" w:eastAsia="仿宋_GB2312" w:cs="仿宋_GB2312"/>
          <w:color w:val="333333"/>
          <w:sz w:val="32"/>
          <w:szCs w:val="32"/>
          <w:lang w:eastAsia="zh-CN"/>
        </w:rPr>
        <w:t>一位</w:t>
      </w:r>
      <w:r>
        <w:rPr>
          <w:rFonts w:hint="eastAsia" w:ascii="仿宋_GB2312" w:hAnsi="仿宋_GB2312" w:eastAsia="仿宋_GB2312" w:cs="仿宋_GB2312"/>
          <w:color w:val="333333"/>
          <w:sz w:val="32"/>
          <w:szCs w:val="32"/>
        </w:rPr>
        <w:t>专家评定为“不合格”的论文，</w:t>
      </w:r>
      <w:r>
        <w:rPr>
          <w:rFonts w:hint="eastAsia" w:ascii="仿宋_GB2312" w:hAnsi="仿宋_GB2312" w:eastAsia="仿宋_GB2312" w:cs="仿宋_GB2312"/>
          <w:color w:val="333333"/>
          <w:sz w:val="32"/>
          <w:szCs w:val="32"/>
          <w:lang w:eastAsia="zh-CN"/>
        </w:rPr>
        <w:t>则为有条件合格。</w:t>
      </w:r>
      <w:r>
        <w:rPr>
          <w:rFonts w:hint="eastAsia" w:ascii="仿宋_GB2312" w:hAnsi="仿宋_GB2312" w:eastAsia="仿宋_GB2312" w:cs="仿宋_GB2312"/>
          <w:color w:val="333333"/>
          <w:sz w:val="32"/>
          <w:szCs w:val="32"/>
        </w:rPr>
        <w:t>学生修改后导师重审，由学院教学指导委员会</w:t>
      </w:r>
      <w:r>
        <w:rPr>
          <w:rFonts w:hint="eastAsia" w:ascii="仿宋_GB2312" w:hAnsi="仿宋_GB2312" w:eastAsia="仿宋_GB2312" w:cs="仿宋_GB2312"/>
          <w:color w:val="333333"/>
          <w:sz w:val="32"/>
          <w:szCs w:val="32"/>
          <w:lang w:eastAsia="zh-CN"/>
        </w:rPr>
        <w:t>组织</w:t>
      </w:r>
      <w:r>
        <w:rPr>
          <w:rFonts w:hint="eastAsia" w:ascii="仿宋_GB2312" w:hAnsi="仿宋_GB2312" w:eastAsia="仿宋_GB2312" w:cs="仿宋_GB2312"/>
          <w:color w:val="333333"/>
          <w:sz w:val="32"/>
          <w:szCs w:val="32"/>
        </w:rPr>
        <w:t>审核</w:t>
      </w:r>
      <w:r>
        <w:rPr>
          <w:rFonts w:hint="eastAsia" w:ascii="仿宋_GB2312" w:hAnsi="仿宋_GB2312" w:eastAsia="仿宋_GB2312" w:cs="仿宋_GB2312"/>
          <w:color w:val="333333"/>
          <w:sz w:val="32"/>
          <w:szCs w:val="32"/>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3.两位</w:t>
      </w:r>
      <w:r>
        <w:rPr>
          <w:rFonts w:hint="eastAsia" w:ascii="仿宋_GB2312" w:hAnsi="仿宋_GB2312" w:eastAsia="仿宋_GB2312" w:cs="仿宋_GB2312"/>
          <w:color w:val="333333"/>
          <w:sz w:val="32"/>
          <w:szCs w:val="32"/>
        </w:rPr>
        <w:t>专家评定意见为“不合格”的，以</w:t>
      </w:r>
      <w:r>
        <w:rPr>
          <w:rStyle w:val="7"/>
          <w:rFonts w:hint="eastAsia" w:ascii="仿宋_GB2312" w:hAnsi="仿宋_GB2312" w:eastAsia="仿宋_GB2312" w:cs="仿宋_GB2312"/>
          <w:color w:val="333333"/>
          <w:sz w:val="32"/>
          <w:szCs w:val="32"/>
        </w:rPr>
        <w:t>“不合格”</w:t>
      </w:r>
      <w:r>
        <w:rPr>
          <w:rFonts w:hint="eastAsia" w:ascii="仿宋_GB2312" w:hAnsi="仿宋_GB2312" w:eastAsia="仿宋_GB2312" w:cs="仿宋_GB2312"/>
          <w:color w:val="333333"/>
          <w:sz w:val="32"/>
          <w:szCs w:val="32"/>
          <w:lang w:eastAsia="zh-CN"/>
        </w:rPr>
        <w:t>认</w:t>
      </w:r>
      <w:r>
        <w:rPr>
          <w:rFonts w:hint="eastAsia" w:ascii="仿宋_GB2312" w:hAnsi="仿宋_GB2312" w:eastAsia="仿宋_GB2312" w:cs="仿宋_GB2312"/>
          <w:color w:val="333333"/>
          <w:sz w:val="32"/>
          <w:szCs w:val="32"/>
          <w:lang w:val="en-US" w:eastAsia="zh-CN"/>
        </w:rPr>
        <w:t>定。学生需重新撰写论文由导师审核后，参加论文复审。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楷体_GB2312" w:hAnsi="楷体_GB2312" w:eastAsia="楷体_GB2312" w:cs="楷体_GB2312"/>
          <w:b/>
          <w:bCs/>
          <w:color w:val="333333"/>
          <w:sz w:val="32"/>
          <w:szCs w:val="32"/>
          <w:lang w:val="en-US" w:eastAsia="zh-CN"/>
        </w:rPr>
      </w:pPr>
      <w:r>
        <w:rPr>
          <w:rFonts w:hint="eastAsia" w:ascii="楷体_GB2312" w:hAnsi="楷体_GB2312" w:eastAsia="楷体_GB2312" w:cs="楷体_GB2312"/>
          <w:b/>
          <w:bCs/>
          <w:color w:val="333333"/>
          <w:sz w:val="32"/>
          <w:szCs w:val="32"/>
          <w:lang w:val="en-US" w:eastAsia="zh-CN"/>
        </w:rPr>
        <w:t>（二）结果处理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1.有条件合格的论文经学院教学指导委员会组织审核复审仍不合格的，毕业论文（设计）成绩作“不及格”认定；送审</w:t>
      </w:r>
      <w:r>
        <w:rPr>
          <w:rStyle w:val="7"/>
          <w:rFonts w:hint="eastAsia" w:ascii="仿宋_GB2312" w:hAnsi="仿宋_GB2312" w:eastAsia="仿宋_GB2312" w:cs="仿宋_GB2312"/>
          <w:color w:val="333333"/>
          <w:sz w:val="32"/>
          <w:szCs w:val="32"/>
        </w:rPr>
        <w:t>不合</w:t>
      </w:r>
      <w:r>
        <w:rPr>
          <w:rStyle w:val="7"/>
          <w:rFonts w:hint="eastAsia" w:ascii="仿宋_GB2312" w:hAnsi="仿宋_GB2312" w:eastAsia="仿宋_GB2312" w:cs="仿宋_GB2312"/>
          <w:color w:val="333333"/>
          <w:sz w:val="32"/>
          <w:szCs w:val="32"/>
          <w:lang w:eastAsia="zh-CN"/>
        </w:rPr>
        <w:t>格的论文参加复审</w:t>
      </w:r>
      <w:r>
        <w:rPr>
          <w:rFonts w:hint="eastAsia" w:ascii="仿宋_GB2312" w:hAnsi="仿宋_GB2312" w:eastAsia="仿宋_GB2312" w:cs="仿宋_GB2312"/>
          <w:color w:val="333333"/>
          <w:sz w:val="32"/>
          <w:szCs w:val="32"/>
          <w:lang w:val="en-US" w:eastAsia="zh-CN"/>
        </w:rPr>
        <w:t>仍不合格的，毕业论文（设计）成绩作“不及格”认定。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lang w:eastAsia="zh-CN"/>
        </w:rPr>
        <w:t>对涉嫌存在抄袭、剽窃、伪造、篡改、买卖、代写等学术不端行为的毕业论文，学校将按照相关程序进行调查核实，对查实的依法撤销已授予学位，并注销学位证书。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Style w:val="7"/>
          <w:rFonts w:hint="eastAsia" w:ascii="黑体" w:hAnsi="黑体" w:eastAsia="黑体" w:cs="黑体"/>
          <w:b w:val="0"/>
          <w:bCs/>
          <w:color w:val="333333"/>
          <w:sz w:val="32"/>
          <w:szCs w:val="32"/>
          <w:lang w:val="en-US" w:eastAsia="zh-CN"/>
        </w:rPr>
      </w:pPr>
      <w:r>
        <w:rPr>
          <w:rStyle w:val="7"/>
          <w:rFonts w:hint="eastAsia" w:ascii="黑体" w:hAnsi="黑体" w:eastAsia="黑体" w:cs="黑体"/>
          <w:b w:val="0"/>
          <w:bCs/>
          <w:color w:val="333333"/>
          <w:sz w:val="32"/>
          <w:szCs w:val="32"/>
          <w:lang w:val="en-US" w:eastAsia="zh-CN"/>
        </w:rPr>
        <w:t>五、其它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eastAsia="zh-CN"/>
        </w:rPr>
        <w:t>（一）</w:t>
      </w:r>
      <w:r>
        <w:rPr>
          <w:rFonts w:hint="eastAsia" w:ascii="仿宋_GB2312" w:hAnsi="仿宋_GB2312" w:eastAsia="仿宋_GB2312" w:cs="仿宋_GB2312"/>
          <w:color w:val="333333"/>
          <w:sz w:val="32"/>
          <w:szCs w:val="32"/>
        </w:rPr>
        <w:t>各</w:t>
      </w:r>
      <w:r>
        <w:rPr>
          <w:rFonts w:hint="eastAsia" w:ascii="仿宋_GB2312" w:hAnsi="仿宋_GB2312" w:eastAsia="仿宋_GB2312" w:cs="仿宋_GB2312"/>
          <w:color w:val="333333"/>
          <w:sz w:val="32"/>
          <w:szCs w:val="32"/>
          <w:lang w:val="en-US" w:eastAsia="zh-CN"/>
        </w:rPr>
        <w:t>学院应</w:t>
      </w:r>
      <w:r>
        <w:rPr>
          <w:rFonts w:hint="eastAsia" w:ascii="仿宋_GB2312" w:hAnsi="仿宋_GB2312" w:eastAsia="仿宋_GB2312" w:cs="仿宋_GB2312"/>
          <w:color w:val="333333"/>
          <w:sz w:val="32"/>
          <w:szCs w:val="32"/>
          <w:lang w:eastAsia="zh-CN"/>
        </w:rPr>
        <w:t>建立本科生毕业</w:t>
      </w:r>
      <w:r>
        <w:rPr>
          <w:rFonts w:hint="eastAsia" w:ascii="仿宋_GB2312" w:hAnsi="仿宋_GB2312" w:eastAsia="仿宋_GB2312" w:cs="仿宋_GB2312"/>
          <w:color w:val="333333"/>
          <w:sz w:val="32"/>
          <w:szCs w:val="32"/>
          <w:lang w:val="en-US" w:eastAsia="zh-CN"/>
        </w:rPr>
        <w:t>论文</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设计</w:t>
      </w:r>
      <w:r>
        <w:rPr>
          <w:rFonts w:hint="eastAsia" w:ascii="仿宋_GB2312" w:hAnsi="仿宋_GB2312" w:eastAsia="仿宋_GB2312" w:cs="仿宋_GB2312"/>
          <w:color w:val="333333"/>
          <w:sz w:val="32"/>
          <w:szCs w:val="32"/>
          <w:lang w:eastAsia="zh-CN"/>
        </w:rPr>
        <w:t>）答辩前自查制度，并报教务处备案。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lang w:val="en-US" w:eastAsia="zh-CN"/>
        </w:rPr>
        <w:t>（二）</w:t>
      </w:r>
      <w:r>
        <w:rPr>
          <w:rFonts w:hint="eastAsia" w:ascii="仿宋_GB2312" w:hAnsi="仿宋_GB2312" w:eastAsia="仿宋_GB2312" w:cs="仿宋_GB2312"/>
          <w:color w:val="333333"/>
          <w:sz w:val="32"/>
          <w:szCs w:val="32"/>
          <w:lang w:eastAsia="zh-CN"/>
        </w:rPr>
        <w:t>学校抽检结果和各</w:t>
      </w:r>
      <w:r>
        <w:rPr>
          <w:rFonts w:hint="eastAsia" w:ascii="仿宋_GB2312" w:hAnsi="仿宋_GB2312" w:eastAsia="仿宋_GB2312" w:cs="仿宋_GB2312"/>
          <w:color w:val="333333"/>
          <w:sz w:val="32"/>
          <w:szCs w:val="32"/>
          <w:lang w:val="en-US" w:eastAsia="zh-CN"/>
        </w:rPr>
        <w:t>学院</w:t>
      </w:r>
      <w:r>
        <w:rPr>
          <w:rFonts w:hint="eastAsia" w:ascii="仿宋_GB2312" w:hAnsi="仿宋_GB2312" w:eastAsia="仿宋_GB2312" w:cs="仿宋_GB2312"/>
          <w:color w:val="333333"/>
          <w:sz w:val="32"/>
          <w:szCs w:val="32"/>
          <w:lang w:eastAsia="zh-CN"/>
        </w:rPr>
        <w:t>自查结果将以适当方式在校内公布。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附件：1.教育部关于印发《本科毕业论文（设计）抽检办法（试行）》的通知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 xml:space="preserve">      2.泉州师范学院本科毕业论文（设计）工作管理规定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教务处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val="en-US" w:eastAsia="zh-CN"/>
        </w:rPr>
        <w:t xml:space="preserve">                    </w:t>
      </w:r>
      <w:r>
        <w:rPr>
          <w:rFonts w:hint="eastAsia" w:ascii="仿宋_GB2312" w:hAnsi="仿宋_GB2312" w:eastAsia="仿宋_GB2312" w:cs="仿宋_GB2312"/>
          <w:color w:val="333333"/>
          <w:sz w:val="32"/>
          <w:szCs w:val="32"/>
        </w:rPr>
        <w:t>2021年</w:t>
      </w: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15</w:t>
      </w:r>
      <w:r>
        <w:rPr>
          <w:rFonts w:hint="eastAsia" w:ascii="仿宋_GB2312" w:hAnsi="仿宋_GB2312" w:eastAsia="仿宋_GB2312" w:cs="仿宋_GB2312"/>
          <w:color w:val="333333"/>
          <w:sz w:val="32"/>
          <w:szCs w:val="32"/>
        </w:rPr>
        <w:t>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eastAsia" w:ascii="仿宋_GB2312" w:hAnsi="仿宋_GB2312" w:eastAsia="仿宋_GB2312" w:cs="仿宋_GB2312"/>
          <w:color w:val="333333"/>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eastAsia" w:ascii="仿宋_GB2312" w:hAnsi="仿宋_GB2312" w:eastAsia="仿宋_GB2312" w:cs="仿宋_GB2312"/>
          <w:color w:val="333333"/>
          <w:sz w:val="32"/>
          <w:szCs w:val="32"/>
        </w:rPr>
      </w:pPr>
      <w:bookmarkStart w:id="1" w:name="_GoBack"/>
      <w:bookmarkEnd w:id="1"/>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5"/>
        <w:jc w:val="center"/>
        <w:textAlignment w:val="auto"/>
        <w:rPr>
          <w:rFonts w:hint="eastAsia" w:ascii="仿宋_GB2312" w:hAnsi="仿宋_GB2312" w:eastAsia="仿宋_GB2312" w:cs="仿宋_GB2312"/>
          <w:color w:val="333333"/>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bidi w:val="0"/>
        <w:rPr>
          <w:rFonts w:hint="eastAsia" w:asciiTheme="minorHAnsi" w:hAnsiTheme="minorHAnsi" w:eastAsiaTheme="minorEastAsia" w:cstheme="minorBidi"/>
          <w:kern w:val="2"/>
          <w:sz w:val="21"/>
          <w:szCs w:val="24"/>
          <w:lang w:val="en-US" w:eastAsia="zh-CN" w:bidi="ar-SA"/>
        </w:rPr>
      </w:pPr>
    </w:p>
    <w:tbl>
      <w:tblPr>
        <w:tblStyle w:val="5"/>
        <w:tblpPr w:leftFromText="180" w:rightFromText="180" w:vertAnchor="text" w:horzAnchor="page" w:tblpX="1626" w:tblpY="408"/>
        <w:tblOverlap w:val="never"/>
        <w:tblW w:w="9040" w:type="dxa"/>
        <w:tblInd w:w="0" w:type="dxa"/>
        <w:tblBorders>
          <w:top w:val="single" w:color="auto" w:sz="12" w:space="0"/>
          <w:left w:val="none" w:color="auto" w:sz="0" w:space="0"/>
          <w:bottom w:val="single" w:color="auto" w:sz="12"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9040"/>
      </w:tblGrid>
      <w:tr>
        <w:tblPrEx>
          <w:tblBorders>
            <w:top w:val="single" w:color="auto" w:sz="12" w:space="0"/>
            <w:left w:val="none" w:color="auto" w:sz="0" w:space="0"/>
            <w:bottom w:val="single" w:color="auto" w:sz="1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15" w:hRule="atLeast"/>
        </w:trPr>
        <w:tc>
          <w:tcPr>
            <w:tcW w:w="9040" w:type="dxa"/>
            <w:tcBorders>
              <w:top w:val="single" w:color="auto" w:sz="12" w:space="0"/>
              <w:bottom w:val="single" w:color="auto" w:sz="12" w:space="0"/>
            </w:tcBorders>
          </w:tcPr>
          <w:p>
            <w:pPr>
              <w:widowControl/>
              <w:spacing w:line="50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泉州师范学院教务处</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ascii="仿宋_GB2312" w:hAnsi="仿宋_GB2312" w:eastAsia="仿宋_GB2312" w:cs="仿宋_GB2312"/>
                <w:color w:val="000000" w:themeColor="text1"/>
                <w:kern w:val="0"/>
                <w:sz w:val="28"/>
                <w:szCs w:val="28"/>
                <w14:textFill>
                  <w14:solidFill>
                    <w14:schemeClr w14:val="tx1"/>
                  </w14:solidFill>
                </w14:textFill>
              </w:rPr>
              <w:t>20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28"/>
                <w:szCs w:val="28"/>
                <w14:textFill>
                  <w14:solidFill>
                    <w14:schemeClr w14:val="tx1"/>
                  </w14:solidFill>
                </w14:textFill>
              </w:rPr>
              <w:t>年</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月</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28"/>
                <w:szCs w:val="28"/>
                <w14:textFill>
                  <w14:solidFill>
                    <w14:schemeClr w14:val="tx1"/>
                  </w14:solidFill>
                </w14:textFill>
              </w:rPr>
              <w:t>日</w:t>
            </w:r>
            <w:r>
              <w:rPr>
                <w:rFonts w:hint="eastAsia" w:ascii="仿宋_GB2312" w:hAnsi="仿宋_GB2312" w:eastAsia="仿宋_GB2312" w:cs="仿宋_GB2312"/>
                <w:color w:val="000000" w:themeColor="text1"/>
                <w:sz w:val="28"/>
                <w:szCs w:val="28"/>
                <w14:textFill>
                  <w14:solidFill>
                    <w14:schemeClr w14:val="tx1"/>
                  </w14:solidFill>
                </w14:textFill>
              </w:rPr>
              <w:t>印发</w:t>
            </w:r>
          </w:p>
        </w:tc>
      </w:tr>
    </w:tbl>
    <w:p>
      <w:pPr>
        <w:bidi w:val="0"/>
        <w:ind w:firstLine="330" w:firstLineChars="0"/>
        <w:jc w:val="left"/>
        <w:rPr>
          <w:rFonts w:hint="default"/>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D65D5"/>
    <w:rsid w:val="000B4EDE"/>
    <w:rsid w:val="00A520DC"/>
    <w:rsid w:val="00D33A78"/>
    <w:rsid w:val="04653228"/>
    <w:rsid w:val="064D6B92"/>
    <w:rsid w:val="0A9019AB"/>
    <w:rsid w:val="0AE73C28"/>
    <w:rsid w:val="13151AF9"/>
    <w:rsid w:val="17BA13EA"/>
    <w:rsid w:val="1847346A"/>
    <w:rsid w:val="1AB33647"/>
    <w:rsid w:val="1EBF2CB5"/>
    <w:rsid w:val="1F7D65D5"/>
    <w:rsid w:val="288C26D4"/>
    <w:rsid w:val="2EDB68C7"/>
    <w:rsid w:val="30D64023"/>
    <w:rsid w:val="390817CB"/>
    <w:rsid w:val="47491CC6"/>
    <w:rsid w:val="4DF63854"/>
    <w:rsid w:val="55C316FD"/>
    <w:rsid w:val="5AF70B7E"/>
    <w:rsid w:val="5B6D3FB7"/>
    <w:rsid w:val="5BB65273"/>
    <w:rsid w:val="71214EC7"/>
    <w:rsid w:val="73010C10"/>
    <w:rsid w:val="73115D0B"/>
    <w:rsid w:val="7900107F"/>
    <w:rsid w:val="79A77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1098</Words>
  <Characters>1141</Characters>
  <Lines>0</Lines>
  <Paragraphs>0</Paragraphs>
  <TotalTime>1</TotalTime>
  <ScaleCrop>false</ScaleCrop>
  <LinksUpToDate>false</LinksUpToDate>
  <CharactersWithSpaces>1204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2021-03-17T07:20:00Z</dcterms:created>
  <dc:creator>郑秋红</dc:creator>
  <cp:lastModifiedBy>郑秋红</cp:lastModifiedBy>
  <cp:lastPrinted>2021-04-16T07:43:00Z</cp:lastPrinted>
  <dcterms:modified xsi:type="dcterms:W3CDTF">2021-04-19T01:07:03Z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75FB654D7E514B1182C318B9A7B10AC8</vt:lpwstr>
  </property>
</Properties>
</file>