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spacing w:val="-100"/>
          <w:w w:val="150"/>
          <w:kern w:val="96"/>
          <w:sz w:val="32"/>
          <w:szCs w:val="32"/>
          <w:lang w:eastAsia="zh-CN"/>
        </w:rPr>
      </w:pPr>
      <w:r>
        <w:rPr>
          <w:rFonts w:ascii="Times New Roman"/>
          <w:color w:val="0C0C0C" w:themeColor="text1" w:themeTint="F2"/>
          <w:szCs w:val="32"/>
        </w:rPr>
        <w:pict>
          <v:shape id="_x0000_s2050" o:spid="_x0000_s2050" o:spt="136" type="#_x0000_t136" style="position:absolute;left:0pt;margin-left:14.25pt;margin-top:139.95pt;height:66.75pt;width:400.5pt;mso-wrap-distance-bottom:0pt;mso-wrap-distance-left:9pt;mso-wrap-distance-right:9pt;mso-wrap-distance-top:0pt;z-index:25165824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泉州师范学院委员会文件&#10;" style="font-family:方正小标宋简体;font-size:36pt;font-weight:bold;v-text-align:center;"/>
            <w10:wrap type="square"/>
          </v:shape>
        </w:pic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泉师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委发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〔</w:t>
      </w:r>
      <w:r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ascii="Times New Roman"/>
          <w:color w:val="0C0C0C" w:themeColor="text1" w:themeTint="F2"/>
          <w:sz w:val="28"/>
          <w:szCs w:val="28"/>
        </w:rPr>
        <w:pict>
          <v:line id="_x0000_s2051" o:spid="_x0000_s2051" o:spt="20" style="position:absolute;left:0pt;margin-left:-16.75pt;margin-top:3.3pt;height:0pt;width:443.25pt;z-index:251660288;mso-width-relative:page;mso-height-relative:page;" stroked="t" coordsize="21600,21600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</w:pP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en-US" w:eastAsia="zh-CN"/>
        </w:rPr>
        <w:t>中共泉州师范学院委员会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关于开展201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8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年</w:t>
      </w:r>
    </w:p>
    <w:p>
      <w:pPr>
        <w:spacing w:line="700" w:lineRule="exact"/>
        <w:jc w:val="center"/>
        <w:rPr>
          <w:rFonts w:ascii="方正小标宋简体" w:eastAsia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党风廉政建设宣传教育月活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动的通知</w:t>
      </w:r>
    </w:p>
    <w:p>
      <w:pPr>
        <w:spacing w:line="700" w:lineRule="exact"/>
        <w:jc w:val="center"/>
        <w:rPr>
          <w:rFonts w:ascii="方正小标宋简体" w:eastAsia="方正小标宋简体"/>
          <w:b w:val="0"/>
          <w:bCs/>
          <w:spacing w:val="0"/>
          <w:sz w:val="44"/>
          <w:szCs w:val="44"/>
        </w:rPr>
      </w:pPr>
    </w:p>
    <w:p>
      <w:pPr>
        <w:spacing w:line="50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各二级党委（党总支）、各学院、机关各部（处、室）、各直属单位：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为深入学习贯彻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习近平新时代中国特色社会主义思想和</w:t>
      </w:r>
      <w:r>
        <w:rPr>
          <w:rFonts w:hint="eastAsia" w:ascii="仿宋_GB2312" w:eastAsia="仿宋_GB2312"/>
          <w:sz w:val="32"/>
          <w:szCs w:val="32"/>
        </w:rPr>
        <w:t>党的十九大精神，加大对新修订的《中国共产党纪律处分条例》（以下简称《条例》）学习宣传贯彻力度，坚持把纪律挺在前面，充分发挥纪律建设标本兼治作用，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坚定不移地推进学校全面从严治党向纵深发展，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为学校改革发展和实施“三步走”发展战略营造风清气正的政治生态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，经研究，决定于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在全校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范围内组织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开展以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</w:rPr>
        <w:t>学好《条例》 严守纪律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在新时代勇担当善作为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为主题的第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</w:rPr>
        <w:t>党风廉政建设宣传教育月活动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。现就活动安排和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一、活动安排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（一）《条例》学习宣传贯彻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灵活运用各种形式和载体，组织党员师生深入学习《条例》，进一步掀起学习热潮，提升学习效果，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使铁的纪律真正转化为党员干部日常习惯和自觉遵循。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各二级党委（党总支）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月上旬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.邀请上级纪委监委有关领导作《条例》专题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辅导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讲座，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深化党员干部对党的纪律建设新形势的认识，准确把握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val="zh-CN"/>
        </w:rPr>
        <w:t>纪律建设的政治性、时代性、针对性，增强学习贯彻《条例》的自觉性和坚定性。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负责单位：纪委办、组织部、宣传部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完成时限：12月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（二）重点领域和关键环节廉政风险防控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推动开展重点领域、关键环节廉政风险防控，督促有关职能部门认真开展自查，进一步完善内控机制，堵塞漏洞。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负责单位：纪委办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单位：相关职能部门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.组织机关部门</w:t>
      </w:r>
      <w:r>
        <w:rPr>
          <w:rFonts w:hint="eastAsia" w:ascii="仿宋_GB2312" w:eastAsia="仿宋_GB2312" w:cs="宋体"/>
          <w:kern w:val="0"/>
          <w:sz w:val="32"/>
          <w:szCs w:val="32"/>
        </w:rPr>
        <w:t>科级以上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干部</w:t>
      </w:r>
      <w:r>
        <w:rPr>
          <w:rFonts w:hint="eastAsia" w:ascii="仿宋_GB2312" w:eastAsia="仿宋_GB2312" w:cs="宋体"/>
          <w:kern w:val="0"/>
          <w:sz w:val="32"/>
          <w:szCs w:val="32"/>
        </w:rPr>
        <w:t>及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重点领域、关键环节岗位人员观看警示教育片，进一步</w:t>
      </w:r>
      <w:r>
        <w:rPr>
          <w:rFonts w:hint="eastAsia" w:ascii="仿宋_GB2312" w:eastAsia="仿宋_GB2312" w:cs="Arial"/>
          <w:sz w:val="32"/>
          <w:szCs w:val="32"/>
        </w:rPr>
        <w:t>深化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廉洁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从政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意识，筑牢拒腐防变的思想防线</w:t>
      </w:r>
      <w:r>
        <w:rPr>
          <w:rFonts w:hint="eastAsia" w:ascii="仿宋_GB2312" w:eastAsia="仿宋_GB2312" w:cs="Arial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负责单位：机关党委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协办单位：纪委办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eastAsia="仿宋_GB2312" w:cs="宋体"/>
          <w:kern w:val="0"/>
          <w:sz w:val="32"/>
          <w:szCs w:val="32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eastAsia="楷体_GB2312" w:cs="宋体"/>
          <w:b w:val="0"/>
          <w:bCs w:val="0"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</w:t>
      </w:r>
      <w:r>
        <w:rPr>
          <w:rFonts w:hint="eastAsia" w:ascii="楷体_GB2312" w:eastAsia="楷体_GB2312" w:cs="宋体"/>
          <w:b w:val="0"/>
          <w:bCs w:val="0"/>
          <w:color w:val="000000"/>
          <w:kern w:val="0"/>
          <w:sz w:val="32"/>
          <w:szCs w:val="32"/>
          <w:lang w:val="zh-CN"/>
        </w:rPr>
        <w:t>纪检监察干部队伍</w:t>
      </w:r>
      <w:r>
        <w:rPr>
          <w:rFonts w:hint="eastAsia" w:ascii="楷体_GB2312" w:eastAsia="楷体_GB2312" w:cs="宋体"/>
          <w:b w:val="0"/>
          <w:bCs w:val="0"/>
          <w:color w:val="000000"/>
          <w:kern w:val="0"/>
          <w:sz w:val="32"/>
          <w:szCs w:val="32"/>
        </w:rPr>
        <w:t>自身</w:t>
      </w:r>
      <w:r>
        <w:rPr>
          <w:rFonts w:hint="eastAsia" w:ascii="楷体_GB2312" w:eastAsia="楷体_GB2312" w:cs="宋体"/>
          <w:b w:val="0"/>
          <w:bCs w:val="0"/>
          <w:color w:val="000000"/>
          <w:kern w:val="0"/>
          <w:sz w:val="32"/>
          <w:szCs w:val="32"/>
          <w:lang w:val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5.按照“打铁必须自身硬”要求，认真落实上级纪委监委干部监督工作有关会议、文件精神，健全内部工作机制，强化自我监督和制约，</w:t>
      </w:r>
      <w:r>
        <w:rPr>
          <w:rFonts w:hint="eastAsia" w:ascii="仿宋_GB2312" w:hAnsi="仿宋" w:eastAsia="仿宋_GB2312"/>
          <w:sz w:val="32"/>
          <w:szCs w:val="32"/>
        </w:rPr>
        <w:t>深入开展谈心谈话、廉政家访等活动，关注“八小时”以外情况，努力</w:t>
      </w:r>
      <w:r>
        <w:rPr>
          <w:rFonts w:hint="eastAsia" w:ascii="仿宋_GB2312" w:hAnsi="黑体" w:eastAsia="仿宋_GB2312"/>
          <w:sz w:val="32"/>
          <w:szCs w:val="32"/>
        </w:rPr>
        <w:t>打造忠诚干净担当的干部队伍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单位：纪委办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.举办二级党委（党总支）纪检委员培训班，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加强对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二级党委（党总支）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纪检工作的指导，进一步提高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二级党委（党总支）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纪检委员履职能力和水平。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负责单位：纪委办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完成时限：12月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大学生“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崇廉尚洁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”系列活动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7.举办“学纪遵纪 崇廉尚洁”大学生主题班团日活动，加大《条例》在大学生中的学习宣传，引导大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学生尤其是党员学生进一步增强党的纪律意识，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牢固树立“崇廉尚洁”和“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廉荣贪耻”的道德观念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单位：团委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配合单位：各二级学院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完成时限：12月底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8.开展“‘易’起分享身边的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家风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好故事”易班网络好故事征集与展播活动，发动大学生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挖掘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身边的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优秀家风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故事，踊跃参与网络征文，弘扬正能量，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涵养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校园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正气。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学生处（校易班中心）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配合单位：各二级学院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二、活动要求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zh-CN"/>
        </w:rPr>
        <w:t>（一）落实责任。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各负责单位、二级党委（党总支）要根据通知要求，对有关活动进行精心组织、周密部署，结合实际抓好落实，确保活动取得实效。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zh-CN"/>
        </w:rPr>
        <w:t>（二）加强宣传。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各负责单位、二级党委（党总支）要通过校园网、校报、微博、微信等媒介、平台加强对党风廉政建设宣传月活动的宣传报道，不断增强党风廉政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宣传教育的说服力、吸引力和感染力，努力营造良好的反腐倡廉舆论氛围。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/>
        </w:rPr>
        <w:t>（三）及时总结。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在宣传教育月活动结束后，各负责单位、二级党委（党总支）要对本单位活动的开展情况进行总结，并将总结报告于12月31日前报送校纪委办。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中共泉州师范学院委员会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2018年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</w:tblPrEx>
        <w:tc>
          <w:tcPr>
            <w:tcW w:w="85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泉州师范学院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党委办公室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1440" w:right="1800" w:bottom="2268" w:left="18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691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-47.95pt;height:27.1pt;width:33.9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227"/>
    <w:rsid w:val="000125D1"/>
    <w:rsid w:val="000B1ED2"/>
    <w:rsid w:val="000E20A4"/>
    <w:rsid w:val="000E694F"/>
    <w:rsid w:val="00143116"/>
    <w:rsid w:val="00144893"/>
    <w:rsid w:val="002319FD"/>
    <w:rsid w:val="002876D0"/>
    <w:rsid w:val="002A1EFA"/>
    <w:rsid w:val="002A4DA8"/>
    <w:rsid w:val="003955B5"/>
    <w:rsid w:val="00424C98"/>
    <w:rsid w:val="00467161"/>
    <w:rsid w:val="004755F0"/>
    <w:rsid w:val="004939C3"/>
    <w:rsid w:val="004B7450"/>
    <w:rsid w:val="004D087B"/>
    <w:rsid w:val="00521531"/>
    <w:rsid w:val="005B2081"/>
    <w:rsid w:val="005E2227"/>
    <w:rsid w:val="00601875"/>
    <w:rsid w:val="006018B5"/>
    <w:rsid w:val="006B7797"/>
    <w:rsid w:val="006C1292"/>
    <w:rsid w:val="006F2585"/>
    <w:rsid w:val="00724B97"/>
    <w:rsid w:val="007619CA"/>
    <w:rsid w:val="007A735E"/>
    <w:rsid w:val="007B7179"/>
    <w:rsid w:val="007C3736"/>
    <w:rsid w:val="008408CF"/>
    <w:rsid w:val="008A37DD"/>
    <w:rsid w:val="008F5DBD"/>
    <w:rsid w:val="00953B1C"/>
    <w:rsid w:val="009A48DA"/>
    <w:rsid w:val="00A026B3"/>
    <w:rsid w:val="00A05080"/>
    <w:rsid w:val="00AA15F2"/>
    <w:rsid w:val="00AB639A"/>
    <w:rsid w:val="00B0511F"/>
    <w:rsid w:val="00B306C5"/>
    <w:rsid w:val="00B94786"/>
    <w:rsid w:val="00C65833"/>
    <w:rsid w:val="00CF57F1"/>
    <w:rsid w:val="00D13011"/>
    <w:rsid w:val="00D267C2"/>
    <w:rsid w:val="00D2680E"/>
    <w:rsid w:val="00D73A98"/>
    <w:rsid w:val="00D90CD1"/>
    <w:rsid w:val="00DD745D"/>
    <w:rsid w:val="00DF0AB5"/>
    <w:rsid w:val="00F34ED4"/>
    <w:rsid w:val="00F820DD"/>
    <w:rsid w:val="00FA6C4A"/>
    <w:rsid w:val="014A06F4"/>
    <w:rsid w:val="017B2B04"/>
    <w:rsid w:val="022E306C"/>
    <w:rsid w:val="074558BF"/>
    <w:rsid w:val="0A304F98"/>
    <w:rsid w:val="0F005A15"/>
    <w:rsid w:val="2377542B"/>
    <w:rsid w:val="2A24366F"/>
    <w:rsid w:val="3BC042C4"/>
    <w:rsid w:val="48F65D86"/>
    <w:rsid w:val="498D20F7"/>
    <w:rsid w:val="51D7594B"/>
    <w:rsid w:val="51D93288"/>
    <w:rsid w:val="534114FF"/>
    <w:rsid w:val="56CF6A3B"/>
    <w:rsid w:val="58A01CE3"/>
    <w:rsid w:val="6065073D"/>
    <w:rsid w:val="634E022B"/>
    <w:rsid w:val="68690936"/>
    <w:rsid w:val="6B440A6B"/>
    <w:rsid w:val="6EC53E6C"/>
    <w:rsid w:val="74B32AC1"/>
    <w:rsid w:val="75DB2802"/>
    <w:rsid w:val="7F5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Plain Text Char"/>
    <w:basedOn w:val="6"/>
    <w:link w:val="2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1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5</Pages>
  <Words>273</Words>
  <Characters>1562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2016-09-13T03:17:00Z</dcterms:created>
  <dc:creator>lenovo</dc:creator>
  <cp:lastModifiedBy>惠普</cp:lastModifiedBy>
  <cp:lastPrinted>2018-05-24T01:57:00Z</cp:lastPrinted>
  <dcterms:modified xsi:type="dcterms:W3CDTF">2018-12-05T03:23:47Z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