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FC3CE">
      <w:pPr>
        <w:keepNext w:val="0"/>
        <w:keepLines w:val="0"/>
        <w:pageBreakBefore w:val="0"/>
        <w:kinsoku/>
        <w:wordWrap/>
        <w:overflowPunct/>
        <w:topLinePunct w:val="0"/>
        <w:autoSpaceDE/>
        <w:autoSpaceDN/>
        <w:bidi w:val="0"/>
        <w:spacing w:line="560" w:lineRule="exact"/>
        <w:textAlignment w:val="auto"/>
        <w:rPr>
          <w:rFonts w:hint="eastAsia"/>
          <w:lang w:val="en-US" w:eastAsia="zh-CN"/>
        </w:rPr>
      </w:pPr>
    </w:p>
    <w:p w14:paraId="07DB5B82">
      <w:pPr>
        <w:pStyle w:val="2"/>
        <w:keepNext w:val="0"/>
        <w:keepLines w:val="0"/>
        <w:pageBreakBefore w:val="0"/>
        <w:kinsoku/>
        <w:wordWrap/>
        <w:overflowPunct/>
        <w:topLinePunct w:val="0"/>
        <w:autoSpaceDE/>
        <w:autoSpaceDN/>
        <w:bidi w:val="0"/>
        <w:spacing w:line="560" w:lineRule="exact"/>
        <w:textAlignment w:val="auto"/>
        <w:rPr>
          <w:rFonts w:hint="eastAsia"/>
          <w:lang w:val="en-US" w:eastAsia="zh-CN"/>
        </w:rPr>
      </w:pPr>
    </w:p>
    <w:p w14:paraId="47C4350D">
      <w:pPr>
        <w:pStyle w:val="2"/>
        <w:keepNext w:val="0"/>
        <w:keepLines w:val="0"/>
        <w:pageBreakBefore w:val="0"/>
        <w:kinsoku/>
        <w:wordWrap/>
        <w:overflowPunct/>
        <w:topLinePunct w:val="0"/>
        <w:autoSpaceDE/>
        <w:autoSpaceDN/>
        <w:bidi w:val="0"/>
        <w:spacing w:line="560" w:lineRule="exact"/>
        <w:textAlignment w:val="auto"/>
        <w:rPr>
          <w:rFonts w:hint="eastAsia"/>
          <w:lang w:val="en-US" w:eastAsia="zh-CN"/>
        </w:rPr>
      </w:pPr>
    </w:p>
    <w:p w14:paraId="09A9C707">
      <w:pPr>
        <w:pStyle w:val="3"/>
        <w:keepNext w:val="0"/>
        <w:keepLines w:val="0"/>
        <w:pageBreakBefore w:val="0"/>
        <w:widowControl/>
        <w:shd w:val="clear" w:color="020000" w:fill="FFFFFF"/>
        <w:kinsoku/>
        <w:wordWrap/>
        <w:overflowPunct/>
        <w:topLinePunct w:val="0"/>
        <w:autoSpaceDE/>
        <w:autoSpaceDN/>
        <w:bidi w:val="0"/>
        <w:spacing w:before="0" w:beforeAutospacing="0" w:after="0" w:afterAutospacing="0" w:line="560" w:lineRule="exact"/>
        <w:jc w:val="center"/>
        <w:textAlignment w:val="auto"/>
        <w:rPr>
          <w:rFonts w:hint="eastAsia" w:ascii="方正小标宋简体" w:hAnsi="方正小标宋简体" w:eastAsia="方正小标宋简体" w:cs="方正小标宋简体"/>
          <w:b w:val="0"/>
          <w:bCs/>
          <w:w w:val="99"/>
          <w:sz w:val="44"/>
          <w:szCs w:val="44"/>
          <w:lang w:val="en-US" w:eastAsia="zh-CN"/>
        </w:rPr>
      </w:pPr>
      <w:r>
        <w:rPr>
          <w:rFonts w:hint="eastAsia" w:ascii="方正小标宋简体" w:hAnsi="方正小标宋简体" w:eastAsia="方正小标宋简体" w:cs="方正小标宋简体"/>
          <w:b w:val="0"/>
          <w:bCs/>
          <w:w w:val="99"/>
          <w:sz w:val="44"/>
          <w:szCs w:val="44"/>
          <w:lang w:val="en-US" w:eastAsia="zh-CN"/>
        </w:rPr>
        <w:t>泉州市工业和信息化局关于开展2026年</w:t>
      </w:r>
    </w:p>
    <w:p w14:paraId="2E08BD07">
      <w:pPr>
        <w:pStyle w:val="3"/>
        <w:keepNext w:val="0"/>
        <w:keepLines w:val="0"/>
        <w:pageBreakBefore w:val="0"/>
        <w:widowControl/>
        <w:shd w:val="clear" w:color="020000" w:fill="FFFFFF"/>
        <w:kinsoku/>
        <w:wordWrap/>
        <w:overflowPunct/>
        <w:topLinePunct w:val="0"/>
        <w:autoSpaceDE/>
        <w:autoSpaceDN/>
        <w:bidi w:val="0"/>
        <w:spacing w:before="0" w:beforeAutospacing="0" w:after="0" w:afterAutospacing="0" w:line="560" w:lineRule="exact"/>
        <w:jc w:val="center"/>
        <w:textAlignment w:val="auto"/>
        <w:rPr>
          <w:rFonts w:hint="eastAsia" w:ascii="方正小标宋简体" w:hAnsi="方正小标宋简体" w:eastAsia="方正小标宋简体" w:cs="方正小标宋简体"/>
          <w:b w:val="0"/>
          <w:bCs/>
          <w:w w:val="99"/>
          <w:sz w:val="44"/>
          <w:szCs w:val="44"/>
          <w:lang w:val="en-US" w:eastAsia="zh-CN"/>
        </w:rPr>
      </w:pPr>
      <w:r>
        <w:rPr>
          <w:rFonts w:hint="eastAsia" w:ascii="方正小标宋简体" w:hAnsi="方正小标宋简体" w:eastAsia="方正小标宋简体" w:cs="方正小标宋简体"/>
          <w:b w:val="0"/>
          <w:bCs/>
          <w:w w:val="99"/>
          <w:sz w:val="44"/>
          <w:szCs w:val="44"/>
          <w:lang w:val="en-US" w:eastAsia="zh-CN"/>
        </w:rPr>
        <w:t>省级人工智能项目申报工作的通知</w:t>
      </w:r>
    </w:p>
    <w:p w14:paraId="1135C031">
      <w:pPr>
        <w:keepNext w:val="0"/>
        <w:keepLines w:val="0"/>
        <w:pageBreakBefore w:val="0"/>
        <w:kinsoku/>
        <w:wordWrap/>
        <w:overflowPunct/>
        <w:topLinePunct w:val="0"/>
        <w:autoSpaceDE/>
        <w:autoSpaceDN/>
        <w:bidi w:val="0"/>
        <w:spacing w:line="560" w:lineRule="exact"/>
        <w:textAlignment w:val="auto"/>
        <w:rPr>
          <w:rFonts w:ascii="仿宋_GB2312" w:hAnsi="仿宋" w:eastAsia="仿宋_GB2312" w:cs="仿宋"/>
          <w:sz w:val="32"/>
          <w:szCs w:val="32"/>
        </w:rPr>
      </w:pPr>
    </w:p>
    <w:p w14:paraId="33E65747">
      <w:pPr>
        <w:keepNext w:val="0"/>
        <w:keepLines w:val="0"/>
        <w:pageBreakBefore w:val="0"/>
        <w:kinsoku/>
        <w:wordWrap/>
        <w:overflowPunct/>
        <w:topLinePunct w:val="0"/>
        <w:autoSpaceDE/>
        <w:autoSpaceDN/>
        <w:bidi w:val="0"/>
        <w:spacing w:line="560" w:lineRule="exact"/>
        <w:textAlignment w:val="auto"/>
        <w:rPr>
          <w:rFonts w:hint="eastAsia" w:ascii="仿宋_GB2312" w:hAnsi="仿宋" w:eastAsia="仿宋_GB2312" w:cs="仿宋"/>
          <w:b w:val="0"/>
          <w:i w:val="0"/>
          <w:caps w:val="0"/>
          <w:spacing w:val="0"/>
          <w:kern w:val="2"/>
          <w:sz w:val="32"/>
          <w:szCs w:val="32"/>
          <w:highlight w:val="none"/>
          <w:shd w:val="clear" w:color="auto" w:fill="auto"/>
        </w:rPr>
      </w:pPr>
      <w:r>
        <w:rPr>
          <w:rFonts w:hint="eastAsia" w:eastAsia="仿宋_GB2312" w:cs="Times New Roman"/>
          <w:sz w:val="32"/>
          <w:szCs w:val="32"/>
          <w:lang w:val="en-US" w:eastAsia="zh-CN"/>
        </w:rPr>
        <w:t>市直有关单位，</w:t>
      </w:r>
      <w:r>
        <w:rPr>
          <w:rFonts w:hint="default" w:ascii="Times New Roman" w:hAnsi="Times New Roman" w:eastAsia="仿宋_GB2312" w:cs="Times New Roman"/>
          <w:sz w:val="32"/>
          <w:szCs w:val="32"/>
          <w:lang w:val="en-US" w:eastAsia="zh-CN"/>
        </w:rPr>
        <w:t>各县（市、区）工信（工信科技、工信商务）局，泉州开发区、台商投资区科经局</w:t>
      </w:r>
      <w:r>
        <w:rPr>
          <w:rFonts w:hint="eastAsia" w:ascii="仿宋_GB2312" w:hAnsi="仿宋_GB2312" w:eastAsia="仿宋_GB2312" w:cs="仿宋_GB2312"/>
          <w:sz w:val="32"/>
          <w:szCs w:val="32"/>
          <w:lang w:val="en-US" w:eastAsia="zh-CN"/>
        </w:rPr>
        <w:t>：</w:t>
      </w:r>
    </w:p>
    <w:p w14:paraId="6FEB586C">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color w:val="auto"/>
          <w:szCs w:val="32"/>
          <w:lang w:eastAsia="zh-CN"/>
        </w:rPr>
      </w:pPr>
      <w:r>
        <w:rPr>
          <w:rFonts w:hint="eastAsia" w:ascii="仿宋_GB2312" w:eastAsia="仿宋_GB2312" w:cs="仿宋_GB2312"/>
          <w:sz w:val="32"/>
          <w:szCs w:val="32"/>
          <w:lang w:val="en-US" w:eastAsia="zh-CN"/>
        </w:rPr>
        <w:t>根据</w:t>
      </w:r>
      <w:r>
        <w:rPr>
          <w:rFonts w:hint="eastAsia" w:ascii="仿宋_GB2312" w:hAnsi="仿宋" w:eastAsia="仿宋_GB2312" w:cs="Times New Roman"/>
          <w:position w:val="0"/>
          <w:sz w:val="32"/>
          <w:szCs w:val="32"/>
          <w:lang w:val="zh-CN"/>
        </w:rPr>
        <w:t>《</w:t>
      </w:r>
      <w:r>
        <w:rPr>
          <w:rFonts w:hint="eastAsia" w:ascii="仿宋_GB2312" w:hAnsi="仿宋" w:eastAsia="仿宋_GB2312" w:cs="Times New Roman"/>
          <w:position w:val="0"/>
          <w:sz w:val="32"/>
          <w:szCs w:val="32"/>
          <w:lang w:val="zh-CN" w:eastAsia="zh-CN"/>
        </w:rPr>
        <w:t>福建省工业和信息化厅关于开展2026年省级人工智能项目申报工作的通知</w:t>
      </w:r>
      <w:r>
        <w:rPr>
          <w:rFonts w:hint="eastAsia" w:ascii="仿宋_GB2312" w:hAnsi="仿宋" w:eastAsia="仿宋_GB2312" w:cs="Times New Roman"/>
          <w:position w:val="0"/>
          <w:sz w:val="32"/>
          <w:szCs w:val="32"/>
          <w:lang w:val="zh-CN"/>
        </w:rPr>
        <w:t>》</w:t>
      </w:r>
      <w:r>
        <w:rPr>
          <w:rFonts w:hint="eastAsia" w:ascii="仿宋_GB2312" w:hAnsi="仿宋_GB2312" w:eastAsia="仿宋_GB2312" w:cs="仿宋_GB2312"/>
          <w:b w:val="0"/>
          <w:bCs w:val="0"/>
          <w:color w:val="000000"/>
          <w:sz w:val="32"/>
          <w:szCs w:val="32"/>
          <w:lang w:val="en-US" w:eastAsia="zh-CN"/>
        </w:rPr>
        <w:t>（闽工信函软件〔2026〕91号）</w:t>
      </w:r>
      <w:r>
        <w:rPr>
          <w:rFonts w:hint="eastAsia" w:ascii="仿宋_GB2312" w:eastAsia="仿宋_GB2312" w:cs="仿宋_GB2312"/>
          <w:sz w:val="32"/>
          <w:szCs w:val="32"/>
          <w:lang w:val="en-US" w:eastAsia="zh-CN"/>
        </w:rPr>
        <w:t>，现就开展2026年省级人工智能项目申报工作有关事项通知如下</w:t>
      </w:r>
      <w:r>
        <w:rPr>
          <w:rFonts w:hint="eastAsia" w:ascii="仿宋_GB2312" w:eastAsia="仿宋_GB2312" w:cs="仿宋_GB2312"/>
          <w:color w:val="auto"/>
          <w:szCs w:val="32"/>
          <w:lang w:eastAsia="zh-CN"/>
        </w:rPr>
        <w:t>。</w:t>
      </w:r>
    </w:p>
    <w:p w14:paraId="69E18032">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黑体" w:hAnsi="黑体" w:eastAsia="黑体" w:cs="黑体"/>
          <w:b/>
          <w:bCs/>
          <w:color w:val="auto"/>
          <w:szCs w:val="32"/>
          <w:lang w:eastAsia="zh-CN"/>
        </w:rPr>
      </w:pPr>
      <w:r>
        <w:rPr>
          <w:rFonts w:hint="eastAsia" w:ascii="黑体" w:hAnsi="黑体" w:eastAsia="黑体" w:cs="黑体"/>
          <w:b/>
          <w:bCs/>
          <w:color w:val="auto"/>
          <w:szCs w:val="32"/>
          <w:lang w:eastAsia="zh-CN"/>
        </w:rPr>
        <w:t>一、申报方向</w:t>
      </w:r>
    </w:p>
    <w:p w14:paraId="55C18103">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本申报包含5个方向：</w:t>
      </w:r>
      <w:r>
        <w:rPr>
          <w:rFonts w:hint="eastAsia" w:ascii="仿宋_GB2312" w:eastAsia="仿宋_GB2312" w:cs="仿宋_GB2312"/>
          <w:b/>
          <w:bCs/>
          <w:sz w:val="32"/>
          <w:szCs w:val="32"/>
          <w:lang w:val="en-US" w:eastAsia="zh-CN"/>
        </w:rPr>
        <w:t>一是</w:t>
      </w:r>
      <w:r>
        <w:rPr>
          <w:rFonts w:hint="eastAsia" w:ascii="仿宋_GB2312" w:eastAsia="仿宋_GB2312" w:cs="仿宋_GB2312"/>
          <w:sz w:val="32"/>
          <w:szCs w:val="32"/>
          <w:lang w:val="en-US" w:eastAsia="zh-CN"/>
        </w:rPr>
        <w:t>人工智能优质行业垂直模型；</w:t>
      </w:r>
      <w:r>
        <w:rPr>
          <w:rFonts w:hint="eastAsia" w:ascii="仿宋_GB2312" w:eastAsia="仿宋_GB2312" w:cs="仿宋_GB2312"/>
          <w:b/>
          <w:bCs/>
          <w:sz w:val="32"/>
          <w:szCs w:val="32"/>
          <w:lang w:val="en-US" w:eastAsia="zh-CN"/>
        </w:rPr>
        <w:t>二是</w:t>
      </w:r>
      <w:r>
        <w:rPr>
          <w:rFonts w:hint="eastAsia" w:ascii="仿宋_GB2312" w:eastAsia="仿宋_GB2312" w:cs="仿宋_GB2312"/>
          <w:sz w:val="32"/>
          <w:szCs w:val="32"/>
          <w:lang w:val="en-US" w:eastAsia="zh-CN"/>
        </w:rPr>
        <w:t>新一代智能终端、智能体、智能芯片、智能装备、具身智能、脑机接口、智能软件等人工智能优质产品；</w:t>
      </w:r>
      <w:r>
        <w:rPr>
          <w:rFonts w:hint="eastAsia" w:ascii="仿宋_GB2312" w:eastAsia="仿宋_GB2312" w:cs="仿宋_GB2312"/>
          <w:b/>
          <w:bCs/>
          <w:sz w:val="32"/>
          <w:szCs w:val="32"/>
          <w:lang w:val="en-US" w:eastAsia="zh-CN"/>
        </w:rPr>
        <w:t>三是</w:t>
      </w:r>
      <w:r>
        <w:rPr>
          <w:rFonts w:hint="eastAsia" w:ascii="仿宋_GB2312" w:eastAsia="仿宋_GB2312" w:cs="仿宋_GB2312"/>
          <w:sz w:val="32"/>
          <w:szCs w:val="32"/>
          <w:lang w:val="en-US" w:eastAsia="zh-CN"/>
        </w:rPr>
        <w:t>人工智能创新优质平台；</w:t>
      </w:r>
      <w:r>
        <w:rPr>
          <w:rFonts w:hint="eastAsia" w:ascii="仿宋_GB2312" w:eastAsia="仿宋_GB2312" w:cs="仿宋_GB2312"/>
          <w:b/>
          <w:bCs/>
          <w:sz w:val="32"/>
          <w:szCs w:val="32"/>
          <w:lang w:val="en-US" w:eastAsia="zh-CN"/>
        </w:rPr>
        <w:t>四是</w:t>
      </w:r>
      <w:r>
        <w:rPr>
          <w:rFonts w:hint="eastAsia" w:ascii="仿宋_GB2312" w:eastAsia="仿宋_GB2312" w:cs="仿宋_GB2312"/>
          <w:sz w:val="32"/>
          <w:szCs w:val="32"/>
          <w:lang w:val="en-US" w:eastAsia="zh-CN"/>
        </w:rPr>
        <w:t>人工智能优质企业；</w:t>
      </w:r>
      <w:r>
        <w:rPr>
          <w:rFonts w:hint="eastAsia" w:ascii="仿宋_GB2312" w:eastAsia="仿宋_GB2312" w:cs="仿宋_GB2312"/>
          <w:b/>
          <w:bCs/>
          <w:sz w:val="32"/>
          <w:szCs w:val="32"/>
          <w:lang w:val="en-US" w:eastAsia="zh-CN"/>
        </w:rPr>
        <w:t>五是</w:t>
      </w:r>
      <w:r>
        <w:rPr>
          <w:rFonts w:hint="eastAsia" w:ascii="仿宋_GB2312" w:eastAsia="仿宋_GB2312" w:cs="仿宋_GB2312"/>
          <w:sz w:val="32"/>
          <w:szCs w:val="32"/>
          <w:lang w:val="en-US" w:eastAsia="zh-CN"/>
        </w:rPr>
        <w:t>采购算力服务补助。</w:t>
      </w:r>
    </w:p>
    <w:p w14:paraId="7AFF6809">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黑体" w:hAnsi="黑体" w:eastAsia="黑体" w:cs="黑体"/>
          <w:b/>
          <w:bCs/>
          <w:color w:val="auto"/>
          <w:szCs w:val="32"/>
          <w:lang w:val="en-US" w:eastAsia="zh-CN"/>
        </w:rPr>
      </w:pPr>
      <w:r>
        <w:rPr>
          <w:rFonts w:hint="eastAsia" w:ascii="黑体" w:hAnsi="黑体" w:eastAsia="黑体" w:cs="黑体"/>
          <w:b/>
          <w:bCs/>
          <w:color w:val="auto"/>
          <w:szCs w:val="32"/>
          <w:lang w:val="en-US" w:eastAsia="zh-CN"/>
        </w:rPr>
        <w:t>二、申报条件</w:t>
      </w:r>
    </w:p>
    <w:p w14:paraId="4B55F315">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申报主体应为在辖区内依法生产经营的单位，无涉黑涉恶违法行为，未被列入企业经营异常名录或失信企业名单（以“信用中国”记录为准）。</w:t>
      </w:r>
    </w:p>
    <w:p w14:paraId="4328242D">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position w:val="0"/>
          <w:sz w:val="32"/>
          <w:szCs w:val="32"/>
          <w:lang w:val="en-US" w:eastAsia="zh-CN"/>
        </w:rPr>
      </w:pPr>
      <w:r>
        <w:rPr>
          <w:rFonts w:hint="eastAsia" w:ascii="楷体" w:hAnsi="楷体" w:eastAsia="楷体" w:cs="楷体"/>
          <w:b/>
          <w:bCs/>
          <w:position w:val="0"/>
          <w:sz w:val="32"/>
          <w:szCs w:val="32"/>
          <w:lang w:val="en-US" w:eastAsia="zh-CN"/>
        </w:rPr>
        <w:t>（一）人工智能优质行业垂直模型</w:t>
      </w:r>
    </w:p>
    <w:p w14:paraId="11EE8C08">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1.申报主体拥有专业的人工智能项目研发团队，具备承担人工智能行业垂直模型研发应用推广及优化升级的能力；</w:t>
      </w:r>
    </w:p>
    <w:p w14:paraId="7182CC2B">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2.申报的行业垂直模型应具有明确的应用场景需求，稳定的数据集来源，模型设计科学合理，具有较高的准确性和可靠性，已实现应用，且应用效果明显；</w:t>
      </w:r>
    </w:p>
    <w:p w14:paraId="0410F7F1">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3.项目总投入原则上不低于1000万元；</w:t>
      </w:r>
    </w:p>
    <w:p w14:paraId="3C5C23D7">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4.以联合体方式申报的，牵头单位为1家，联合参与单位不超过4家。</w:t>
      </w:r>
    </w:p>
    <w:p w14:paraId="30500923">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position w:val="0"/>
          <w:sz w:val="32"/>
          <w:szCs w:val="32"/>
          <w:lang w:val="en-US" w:eastAsia="zh-CN"/>
        </w:rPr>
      </w:pPr>
      <w:r>
        <w:rPr>
          <w:rFonts w:hint="eastAsia" w:ascii="楷体" w:hAnsi="楷体" w:eastAsia="楷体" w:cs="楷体"/>
          <w:b/>
          <w:bCs/>
          <w:position w:val="0"/>
          <w:sz w:val="32"/>
          <w:szCs w:val="32"/>
          <w:lang w:val="en-US" w:eastAsia="zh-CN"/>
        </w:rPr>
        <w:t>（二）人工智能优质产品</w:t>
      </w:r>
    </w:p>
    <w:p w14:paraId="249FA1CC">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1.产品拥有自主知识产权、技术先进、性能可靠，达到行业先进水平；</w:t>
      </w:r>
    </w:p>
    <w:p w14:paraId="5ACE1474">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2.产品已实现应用，且应用效果明显，具有较高的实用价值和示范推广价值。</w:t>
      </w:r>
    </w:p>
    <w:p w14:paraId="67FBD488">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position w:val="0"/>
          <w:sz w:val="32"/>
          <w:szCs w:val="32"/>
          <w:lang w:val="en-US" w:eastAsia="zh-CN"/>
        </w:rPr>
      </w:pPr>
      <w:r>
        <w:rPr>
          <w:rFonts w:hint="eastAsia" w:ascii="楷体" w:hAnsi="楷体" w:eastAsia="楷体" w:cs="楷体"/>
          <w:b/>
          <w:bCs/>
          <w:position w:val="0"/>
          <w:sz w:val="32"/>
          <w:szCs w:val="32"/>
          <w:lang w:val="en-US" w:eastAsia="zh-CN"/>
        </w:rPr>
        <w:t>（三）人工智能创新优质平台</w:t>
      </w:r>
    </w:p>
    <w:p w14:paraId="0555CC94">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1.申报主体拥有承担人工智能公共服务所需的基础设施条件和服务支撑能力等，拥有人工智能相关领域技术水平高、经验丰富的技术团队；</w:t>
      </w:r>
    </w:p>
    <w:p w14:paraId="267F7CFD">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2.具备公共服务能力，有明确的服务清单和成功服务案例；</w:t>
      </w:r>
    </w:p>
    <w:p w14:paraId="0EBF583C">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3.平台建设实际投入原则上不少于500万元；</w:t>
      </w:r>
    </w:p>
    <w:p w14:paraId="1A7F256C">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4.以联合体方式申报的，牵头单位为1家，联合参与单位不超过4家。</w:t>
      </w:r>
    </w:p>
    <w:p w14:paraId="2FDDBCDD">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position w:val="0"/>
          <w:sz w:val="32"/>
          <w:szCs w:val="32"/>
          <w:lang w:val="en-US" w:eastAsia="zh-CN"/>
        </w:rPr>
      </w:pPr>
      <w:r>
        <w:rPr>
          <w:rFonts w:hint="eastAsia" w:ascii="楷体" w:hAnsi="楷体" w:eastAsia="楷体" w:cs="楷体"/>
          <w:b/>
          <w:bCs/>
          <w:position w:val="0"/>
          <w:sz w:val="32"/>
          <w:szCs w:val="32"/>
          <w:lang w:val="en-US" w:eastAsia="zh-CN"/>
        </w:rPr>
        <w:t>（四）人工智能优质企业</w:t>
      </w:r>
    </w:p>
    <w:p w14:paraId="1809B4DF">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1.申报主体为开展人工智能技术研发或应用的企业，在人工智能相关细分领域拥有较强的行业影响力，拥有自主研发的关键核心技术或产品；</w:t>
      </w:r>
    </w:p>
    <w:p w14:paraId="67B34324">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2.技术创新能力、研发实力强，主要产品技术水平优势突出，拥有市级（含）以上研发机构或创新平台；</w:t>
      </w:r>
    </w:p>
    <w:p w14:paraId="0A6EAB56">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3.上年度人工智能领域业务收入达到较大规模。</w:t>
      </w:r>
    </w:p>
    <w:p w14:paraId="1427E32C">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position w:val="0"/>
          <w:sz w:val="32"/>
          <w:szCs w:val="32"/>
          <w:lang w:val="en-US" w:eastAsia="zh-CN"/>
        </w:rPr>
      </w:pPr>
      <w:r>
        <w:rPr>
          <w:rFonts w:hint="eastAsia" w:ascii="楷体" w:hAnsi="楷体" w:eastAsia="楷体" w:cs="楷体"/>
          <w:b/>
          <w:bCs/>
          <w:position w:val="0"/>
          <w:sz w:val="32"/>
          <w:szCs w:val="32"/>
          <w:lang w:val="en-US" w:eastAsia="zh-CN"/>
        </w:rPr>
        <w:t>（五）采购算力服务补助</w:t>
      </w:r>
    </w:p>
    <w:p w14:paraId="0B7E0748">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1.申报主体应为向算力服务商购买算力服务年度总金额（起止时间为2025年1月1日至12月31日）达到10万元（含）以上的企业;</w:t>
      </w:r>
    </w:p>
    <w:p w14:paraId="69E5B09A">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2.所购算力用于模型开发、算法验证、数据处理或人工智能应用等相关环节。</w:t>
      </w:r>
    </w:p>
    <w:p w14:paraId="2148A1F2">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黑体" w:hAnsi="黑体" w:eastAsia="黑体" w:cs="黑体"/>
          <w:b/>
          <w:bCs/>
          <w:color w:val="auto"/>
          <w:szCs w:val="32"/>
          <w:lang w:val="en-US" w:eastAsia="zh-CN"/>
        </w:rPr>
      </w:pPr>
      <w:r>
        <w:rPr>
          <w:rFonts w:hint="eastAsia" w:ascii="黑体" w:hAnsi="黑体" w:eastAsia="黑体" w:cs="黑体"/>
          <w:b/>
          <w:bCs/>
          <w:color w:val="auto"/>
          <w:szCs w:val="32"/>
          <w:lang w:val="en-US" w:eastAsia="zh-CN"/>
        </w:rPr>
        <w:t>三、申报材料</w:t>
      </w:r>
    </w:p>
    <w:p w14:paraId="6CB95D39">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position w:val="0"/>
          <w:sz w:val="32"/>
          <w:szCs w:val="32"/>
          <w:lang w:val="en-US" w:eastAsia="zh-CN"/>
        </w:rPr>
      </w:pPr>
      <w:r>
        <w:rPr>
          <w:rFonts w:hint="eastAsia" w:ascii="楷体" w:hAnsi="楷体" w:eastAsia="楷体" w:cs="楷体"/>
          <w:b/>
          <w:bCs/>
          <w:position w:val="0"/>
          <w:sz w:val="32"/>
          <w:szCs w:val="32"/>
          <w:lang w:val="en-US" w:eastAsia="zh-CN"/>
        </w:rPr>
        <w:t>（一）人工智能优质行业垂直模型</w:t>
      </w:r>
    </w:p>
    <w:p w14:paraId="5F1774DB">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1.福建省人工智能优质行业垂直模型项目申报表（附件1）；</w:t>
      </w:r>
    </w:p>
    <w:p w14:paraId="4B9F4C36">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2.申报单位营业执照（非企业法人单位提供登记证书等证照材料）；</w:t>
      </w:r>
    </w:p>
    <w:p w14:paraId="7A1FEC09">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3.2025年度财务审计报告或相关财务数据证明材料；</w:t>
      </w:r>
    </w:p>
    <w:p w14:paraId="6FFCD494">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4.模型项目已完成投入的明细单，相关合同、资金证明等材料；</w:t>
      </w:r>
    </w:p>
    <w:p w14:paraId="1B867484">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5.模型研发团队主要人员名单，近3个月社保缴纳凭证；</w:t>
      </w:r>
    </w:p>
    <w:p w14:paraId="57BCA099">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6.专利或软件著作权等自主知识产权相关证明材料；</w:t>
      </w:r>
    </w:p>
    <w:p w14:paraId="336C1236">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7.基础模型、数据集、算力使用等相关证明或说明材料；</w:t>
      </w:r>
    </w:p>
    <w:p w14:paraId="283C4A55">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8.模型应用的相关合同或协议等证明材料；</w:t>
      </w:r>
    </w:p>
    <w:p w14:paraId="26AE21A7">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9.用户单位出具的模型应用成效相关证明材料；</w:t>
      </w:r>
    </w:p>
    <w:p w14:paraId="575B4951">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10.指导专家出具的书面推荐意见（包括模型在相关领域的技术水平和地位作用等）；</w:t>
      </w:r>
    </w:p>
    <w:p w14:paraId="47213382">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11.模型资质、获奖情况等相关证明材料（如有）；</w:t>
      </w:r>
    </w:p>
    <w:p w14:paraId="7F2148F8">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12.以联合体方式申报的项目，需提供联合体合作协议；</w:t>
      </w:r>
    </w:p>
    <w:p w14:paraId="30805D1A">
      <w:pPr>
        <w:pStyle w:val="2"/>
        <w:keepNext w:val="0"/>
        <w:keepLines w:val="0"/>
        <w:pageBreakBefore w:val="0"/>
        <w:kinsoku/>
        <w:wordWrap/>
        <w:overflowPunct/>
        <w:topLinePunct w:val="0"/>
        <w:autoSpaceDE/>
        <w:autoSpaceDN/>
        <w:bidi w:val="0"/>
        <w:spacing w:line="560" w:lineRule="exact"/>
        <w:ind w:firstLine="640" w:firstLineChars="200"/>
        <w:textAlignment w:val="auto"/>
        <w:rPr>
          <w:rFonts w:hint="default"/>
          <w:lang w:val="en-US" w:eastAsia="zh-CN"/>
        </w:rPr>
      </w:pPr>
      <w:r>
        <w:rPr>
          <w:rFonts w:hint="eastAsia" w:ascii="仿宋_GB2312" w:eastAsia="仿宋_GB2312" w:cs="仿宋_GB2312"/>
          <w:sz w:val="32"/>
          <w:szCs w:val="32"/>
          <w:lang w:val="en-US" w:eastAsia="zh-CN"/>
        </w:rPr>
        <w:t>13.无失信被执行人员、无涉黑涉恶承诺书（附件7）。</w:t>
      </w:r>
    </w:p>
    <w:p w14:paraId="33269665">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position w:val="0"/>
          <w:sz w:val="32"/>
          <w:szCs w:val="32"/>
          <w:lang w:val="en-US" w:eastAsia="zh-CN"/>
        </w:rPr>
      </w:pPr>
      <w:r>
        <w:rPr>
          <w:rFonts w:hint="eastAsia" w:ascii="楷体" w:hAnsi="楷体" w:eastAsia="楷体" w:cs="楷体"/>
          <w:b/>
          <w:bCs/>
          <w:position w:val="0"/>
          <w:sz w:val="32"/>
          <w:szCs w:val="32"/>
          <w:lang w:val="en-US" w:eastAsia="zh-CN"/>
        </w:rPr>
        <w:t>（二）人工智能优质产品</w:t>
      </w:r>
    </w:p>
    <w:p w14:paraId="06A0BCC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1.福建省人工智能优质产品项目申报表（附件2）；</w:t>
      </w:r>
    </w:p>
    <w:p w14:paraId="7493E95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2.申报企业营业执照；</w:t>
      </w:r>
    </w:p>
    <w:p w14:paraId="0FE34E4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3.专利或软件著作权等自主知识产权相关证明材料；</w:t>
      </w:r>
    </w:p>
    <w:p w14:paraId="3A3C3F2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4.产品销售合同、付款凭证等材料；</w:t>
      </w:r>
    </w:p>
    <w:p w14:paraId="45CF44C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5.用户单位出具的产品应用成效相关证明材料；</w:t>
      </w:r>
    </w:p>
    <w:p w14:paraId="170FE43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6.产品图片、检验检测、获奖情况等相关证明材料（如有）；</w:t>
      </w:r>
    </w:p>
    <w:p w14:paraId="6F3D58F5">
      <w:pPr>
        <w:pStyle w:val="2"/>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lang w:val="en-US" w:eastAsia="zh-CN"/>
        </w:rPr>
      </w:pPr>
      <w:r>
        <w:rPr>
          <w:rFonts w:hint="eastAsia" w:ascii="仿宋_GB2312" w:eastAsia="仿宋_GB2312" w:cs="仿宋_GB2312"/>
          <w:sz w:val="32"/>
          <w:szCs w:val="32"/>
          <w:lang w:val="en-US" w:eastAsia="zh-CN"/>
        </w:rPr>
        <w:t>7.无失信被执行人员、无涉黑涉恶承诺书（附件7）。</w:t>
      </w:r>
    </w:p>
    <w:p w14:paraId="1B2BDE23">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position w:val="0"/>
          <w:sz w:val="32"/>
          <w:szCs w:val="32"/>
          <w:lang w:val="en-US" w:eastAsia="zh-CN"/>
        </w:rPr>
      </w:pPr>
      <w:r>
        <w:rPr>
          <w:rFonts w:hint="eastAsia" w:ascii="楷体" w:hAnsi="楷体" w:eastAsia="楷体" w:cs="楷体"/>
          <w:b/>
          <w:bCs/>
          <w:position w:val="0"/>
          <w:sz w:val="32"/>
          <w:szCs w:val="32"/>
          <w:lang w:val="en-US" w:eastAsia="zh-CN"/>
        </w:rPr>
        <w:t>（三）人工智能创新优质平台</w:t>
      </w:r>
    </w:p>
    <w:p w14:paraId="3358174E">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1.福建省人工智能创新优质平台项目申报表（附件3）；</w:t>
      </w:r>
    </w:p>
    <w:p w14:paraId="7056AF7D">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2.申报单位营业执照（非企业法人单位提供登记证书等证照材料）；</w:t>
      </w:r>
    </w:p>
    <w:p w14:paraId="45150281">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3.平台建设实际投入明细单，相关合同、资金证明等材料；</w:t>
      </w:r>
    </w:p>
    <w:p w14:paraId="67BC8EA4">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4.场地产权或租赁证明，算力、存储、软硬件设施相关证明材料；</w:t>
      </w:r>
    </w:p>
    <w:p w14:paraId="5021818F">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5.平台团队主要人员名单，近3个月社保缴纳证明等；</w:t>
      </w:r>
    </w:p>
    <w:p w14:paraId="38B217A2">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6.平台创新成果、知识产权、资质荣誉等相关材料；</w:t>
      </w:r>
    </w:p>
    <w:p w14:paraId="775FBFCA">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7.平台服务合作清单、服务合作协议、服务成效案例、用户单位出具的平台服务成效相关证明材料等；</w:t>
      </w:r>
    </w:p>
    <w:p w14:paraId="1B4B1E66">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8.以联合体方式申报的项目，需提供联合体合作协议；</w:t>
      </w:r>
    </w:p>
    <w:p w14:paraId="3FA869C8">
      <w:pPr>
        <w:pStyle w:val="2"/>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lang w:val="en-US" w:eastAsia="zh-CN"/>
        </w:rPr>
      </w:pPr>
      <w:r>
        <w:rPr>
          <w:rFonts w:hint="eastAsia" w:ascii="仿宋_GB2312" w:eastAsia="仿宋_GB2312" w:cs="仿宋_GB2312"/>
          <w:sz w:val="32"/>
          <w:szCs w:val="32"/>
          <w:lang w:val="en-US" w:eastAsia="zh-CN"/>
        </w:rPr>
        <w:t>9.无失信被执行人员、无涉黑涉恶承诺书（附件7）。</w:t>
      </w:r>
    </w:p>
    <w:p w14:paraId="498B8A0A">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position w:val="0"/>
          <w:sz w:val="32"/>
          <w:szCs w:val="32"/>
          <w:lang w:val="en-US" w:eastAsia="zh-CN"/>
        </w:rPr>
      </w:pPr>
      <w:r>
        <w:rPr>
          <w:rFonts w:hint="eastAsia" w:ascii="楷体" w:hAnsi="楷体" w:eastAsia="楷体" w:cs="楷体"/>
          <w:b/>
          <w:bCs/>
          <w:position w:val="0"/>
          <w:sz w:val="32"/>
          <w:szCs w:val="32"/>
          <w:lang w:val="en-US" w:eastAsia="zh-CN"/>
        </w:rPr>
        <w:t>（四）人工智能优质企业</w:t>
      </w:r>
    </w:p>
    <w:p w14:paraId="23804E40">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1.福建省人工智能优质企业项目申报表（附件4）；</w:t>
      </w:r>
    </w:p>
    <w:p w14:paraId="3C329677">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2.申报企业营业执照；</w:t>
      </w:r>
    </w:p>
    <w:p w14:paraId="571ABEAB">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3.2024年和2025年的财务审计报告或相关财务报表；</w:t>
      </w:r>
    </w:p>
    <w:p w14:paraId="561E148E">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4.研发团队主要人员名单，近3个月社保缴纳凭证；</w:t>
      </w:r>
    </w:p>
    <w:p w14:paraId="61C807EF">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5.市级（含）以上研发机构或创新平台相关证明材料；</w:t>
      </w:r>
    </w:p>
    <w:p w14:paraId="1C5E4F2E">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6.专利或软件著作权等知识产权相关证明材料；</w:t>
      </w:r>
    </w:p>
    <w:p w14:paraId="5F32B959">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7.产品合同、客户清单、应用案例等相关材料；</w:t>
      </w:r>
    </w:p>
    <w:p w14:paraId="3438875F">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8.申报企业获奖证书、各类相关资质证书（如有）；</w:t>
      </w:r>
    </w:p>
    <w:p w14:paraId="7F0A0086">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9.市场份额情况、技术先进性、行业地位等相关证明材料（如有）；</w:t>
      </w:r>
    </w:p>
    <w:p w14:paraId="23E93434">
      <w:pPr>
        <w:pStyle w:val="2"/>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lang w:val="en-US" w:eastAsia="zh-CN"/>
        </w:rPr>
      </w:pPr>
      <w:r>
        <w:rPr>
          <w:rFonts w:hint="eastAsia" w:ascii="仿宋_GB2312" w:eastAsia="仿宋_GB2312" w:cs="仿宋_GB2312"/>
          <w:sz w:val="32"/>
          <w:szCs w:val="32"/>
          <w:lang w:val="en-US" w:eastAsia="zh-CN"/>
        </w:rPr>
        <w:t>10.无失信被执行人员、无涉黑涉恶承诺书（附件7）。</w:t>
      </w:r>
    </w:p>
    <w:p w14:paraId="1A793270">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楷体" w:hAnsi="楷体" w:eastAsia="楷体" w:cs="楷体"/>
          <w:b/>
          <w:bCs/>
          <w:position w:val="0"/>
          <w:sz w:val="32"/>
          <w:szCs w:val="32"/>
          <w:lang w:val="en-US" w:eastAsia="zh-CN"/>
        </w:rPr>
      </w:pPr>
      <w:r>
        <w:rPr>
          <w:rFonts w:hint="eastAsia" w:ascii="楷体" w:hAnsi="楷体" w:eastAsia="楷体" w:cs="楷体"/>
          <w:b/>
          <w:bCs/>
          <w:position w:val="0"/>
          <w:sz w:val="32"/>
          <w:szCs w:val="32"/>
          <w:lang w:val="en-US" w:eastAsia="zh-CN"/>
        </w:rPr>
        <w:t>（五）采购算力服务补助</w:t>
      </w:r>
    </w:p>
    <w:p w14:paraId="6B9CAFA2">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1.福建省人工智能采购算力服务补助项目申报表（附件5）；</w:t>
      </w:r>
    </w:p>
    <w:p w14:paraId="5AFE92D5">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2.申报企业营业执照；</w:t>
      </w:r>
    </w:p>
    <w:p w14:paraId="3B6AC474">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3.2025年度财务审计报告或相关财务数据证明材料；</w:t>
      </w:r>
    </w:p>
    <w:p w14:paraId="4F1AAA8F">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4.算力服务采购合同、付款凭证等材料；</w:t>
      </w:r>
    </w:p>
    <w:p w14:paraId="51DB628F">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5.其他相关证明材料；</w:t>
      </w:r>
    </w:p>
    <w:p w14:paraId="5F65C6CE">
      <w:pPr>
        <w:pStyle w:val="2"/>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lang w:val="en-US" w:eastAsia="zh-CN"/>
        </w:rPr>
      </w:pPr>
      <w:r>
        <w:rPr>
          <w:rFonts w:hint="eastAsia" w:ascii="仿宋_GB2312" w:eastAsia="仿宋_GB2312" w:cs="仿宋_GB2312"/>
          <w:sz w:val="32"/>
          <w:szCs w:val="32"/>
          <w:lang w:val="en-US" w:eastAsia="zh-CN"/>
        </w:rPr>
        <w:t>6.无失信被执行人员、无涉黑涉恶承诺书（附件7）。</w:t>
      </w:r>
    </w:p>
    <w:p w14:paraId="66864D41">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黑体" w:hAnsi="黑体" w:eastAsia="黑体" w:cs="黑体"/>
          <w:b/>
          <w:bCs/>
          <w:color w:val="auto"/>
          <w:szCs w:val="32"/>
          <w:lang w:val="en-US" w:eastAsia="zh-CN"/>
        </w:rPr>
      </w:pPr>
      <w:r>
        <w:rPr>
          <w:rFonts w:hint="eastAsia" w:ascii="黑体" w:hAnsi="黑体" w:eastAsia="黑体" w:cs="黑体"/>
          <w:b/>
          <w:bCs/>
          <w:color w:val="auto"/>
          <w:szCs w:val="32"/>
          <w:lang w:val="en-US" w:eastAsia="zh-CN"/>
        </w:rPr>
        <w:t>四、有关要求</w:t>
      </w:r>
    </w:p>
    <w:p w14:paraId="11969CA9">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（一）申报单位按要求填写申报材料，向所属县（市、区）工信部门报送。申报材料应真实可靠、重点突出、表述准确，合同、协议等证明材料内容中所体现的产品名称等信息应与申报信息一致。</w:t>
      </w:r>
      <w:r>
        <w:rPr>
          <w:rFonts w:hint="eastAsia" w:ascii="仿宋_GB2312" w:eastAsia="仿宋_GB2312" w:cs="仿宋_GB2312"/>
          <w:b/>
          <w:bCs/>
          <w:sz w:val="32"/>
          <w:szCs w:val="32"/>
          <w:lang w:val="en-US" w:eastAsia="zh-CN"/>
        </w:rPr>
        <w:t>每家申报单位每个申报方向限牵头申报一个项目，且人工智能优质行业垂直模型、人工智能优质产品两个方向不得同时牵头申报。</w:t>
      </w:r>
    </w:p>
    <w:p w14:paraId="5EC96161">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（二）请市直各行业主管部门积极发动符合条件的企业申报，并指导企业从所辖地区的工信部门逐级推荐上报。</w:t>
      </w:r>
    </w:p>
    <w:p w14:paraId="61620A34">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（三）请各县（市、区）工信部门负责组织辖区相关单位申报，对申报材料完整性、匹配性、企业社会信用等情况进行初步审查，项目推荐应按优先顺序择优排序报送我局。</w:t>
      </w:r>
    </w:p>
    <w:p w14:paraId="1C91F0A4">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（四）项目申报书（纸质一式4份，</w:t>
      </w:r>
      <w:r>
        <w:rPr>
          <w:rFonts w:hint="eastAsia" w:ascii="仿宋_GB2312" w:eastAsia="仿宋_GB2312" w:cs="仿宋_GB2312"/>
          <w:b/>
          <w:bCs/>
          <w:sz w:val="32"/>
          <w:szCs w:val="32"/>
          <w:lang w:val="en-US" w:eastAsia="zh-CN"/>
        </w:rPr>
        <w:t>其中1份申报材料推荐栏需县工信盖章</w:t>
      </w:r>
      <w:r>
        <w:rPr>
          <w:rFonts w:hint="eastAsia" w:ascii="仿宋_GB2312" w:eastAsia="仿宋_GB2312" w:cs="仿宋_GB2312"/>
          <w:sz w:val="32"/>
          <w:szCs w:val="32"/>
          <w:lang w:val="en-US" w:eastAsia="zh-CN"/>
        </w:rPr>
        <w:t>）、项目推荐汇总表（附件6）以及企业信用报告（建议使用信用中国网站查询），于2026年3月26日前正式行文报送我局，电子版（word版及盖章版PDF版）发至指定邮箱。</w:t>
      </w:r>
    </w:p>
    <w:p w14:paraId="178086F0">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eastAsia="仿宋_GB2312" w:cs="仿宋_GB2312"/>
          <w:sz w:val="32"/>
          <w:szCs w:val="32"/>
          <w:lang w:val="en-US" w:eastAsia="zh-CN"/>
        </w:rPr>
      </w:pPr>
      <w:bookmarkStart w:id="0" w:name="_GoBack"/>
      <w:bookmarkEnd w:id="0"/>
      <w:r>
        <w:rPr>
          <w:rFonts w:hint="eastAsia" w:ascii="仿宋_GB2312" w:eastAsia="仿宋_GB2312" w:cs="仿宋_GB2312"/>
          <w:sz w:val="32"/>
          <w:szCs w:val="32"/>
          <w:lang w:val="en-US" w:eastAsia="zh-CN"/>
        </w:rPr>
        <w:t>联 系 人：小李</w:t>
      </w:r>
    </w:p>
    <w:p w14:paraId="75572843">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联系电话：0595-28383879</w:t>
      </w:r>
    </w:p>
    <w:p w14:paraId="2067BCEE">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eastAsia="仿宋_GB2312" w:cs="仿宋_GB2312"/>
          <w:sz w:val="32"/>
          <w:szCs w:val="32"/>
          <w:lang w:val="en-US" w:eastAsia="zh-CN"/>
        </w:rPr>
      </w:pPr>
      <w:r>
        <w:rPr>
          <w:rFonts w:hint="eastAsia" w:ascii="仿宋_GB2312" w:eastAsia="仿宋_GB2312" w:cs="仿宋_GB2312"/>
          <w:sz w:val="32"/>
          <w:szCs w:val="32"/>
          <w:lang w:val="en-US" w:eastAsia="zh-CN"/>
        </w:rPr>
        <w:t>地    址：福建省泉州市东海行政中心交通科研楼A栋206</w:t>
      </w:r>
    </w:p>
    <w:p w14:paraId="48684455">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工作邮箱：qzgxjrjk@163.com</w:t>
      </w:r>
    </w:p>
    <w:p w14:paraId="4A06041D">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p>
    <w:p w14:paraId="12D77F4E">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附件：1.福建省人工智能优质行业垂直模型项目申报表</w:t>
      </w:r>
    </w:p>
    <w:p w14:paraId="168F5DC0">
      <w:pPr>
        <w:keepNext w:val="0"/>
        <w:keepLines w:val="0"/>
        <w:pageBreakBefore w:val="0"/>
        <w:kinsoku/>
        <w:wordWrap/>
        <w:overflowPunct/>
        <w:topLinePunct w:val="0"/>
        <w:autoSpaceDE/>
        <w:autoSpaceDN/>
        <w:bidi w:val="0"/>
        <w:adjustRightInd w:val="0"/>
        <w:snapToGrid w:val="0"/>
        <w:spacing w:line="560" w:lineRule="exact"/>
        <w:ind w:firstLine="1600" w:firstLineChars="5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2.福建省人工智能优质产品项目申报表</w:t>
      </w:r>
    </w:p>
    <w:p w14:paraId="6C98CA5F">
      <w:pPr>
        <w:keepNext w:val="0"/>
        <w:keepLines w:val="0"/>
        <w:pageBreakBefore w:val="0"/>
        <w:kinsoku/>
        <w:wordWrap/>
        <w:overflowPunct/>
        <w:topLinePunct w:val="0"/>
        <w:autoSpaceDE/>
        <w:autoSpaceDN/>
        <w:bidi w:val="0"/>
        <w:adjustRightInd w:val="0"/>
        <w:snapToGrid w:val="0"/>
        <w:spacing w:line="560" w:lineRule="exact"/>
        <w:ind w:firstLine="1600" w:firstLineChars="5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3.福建省人工智能创新优质平台项目申报表</w:t>
      </w:r>
    </w:p>
    <w:p w14:paraId="6CEFDF3D">
      <w:pPr>
        <w:keepNext w:val="0"/>
        <w:keepLines w:val="0"/>
        <w:pageBreakBefore w:val="0"/>
        <w:kinsoku/>
        <w:wordWrap/>
        <w:overflowPunct/>
        <w:topLinePunct w:val="0"/>
        <w:autoSpaceDE/>
        <w:autoSpaceDN/>
        <w:bidi w:val="0"/>
        <w:adjustRightInd w:val="0"/>
        <w:snapToGrid w:val="0"/>
        <w:spacing w:line="560" w:lineRule="exact"/>
        <w:ind w:firstLine="1600" w:firstLineChars="5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4.福建省人工智能优质企业项目申报表</w:t>
      </w:r>
    </w:p>
    <w:p w14:paraId="25BDDB0F">
      <w:pPr>
        <w:keepNext w:val="0"/>
        <w:keepLines w:val="0"/>
        <w:pageBreakBefore w:val="0"/>
        <w:kinsoku/>
        <w:wordWrap/>
        <w:overflowPunct/>
        <w:topLinePunct w:val="0"/>
        <w:autoSpaceDE/>
        <w:autoSpaceDN/>
        <w:bidi w:val="0"/>
        <w:adjustRightInd w:val="0"/>
        <w:snapToGrid w:val="0"/>
        <w:spacing w:line="560" w:lineRule="exact"/>
        <w:ind w:firstLine="1600" w:firstLineChars="5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5.福建省人工智能采购算力服务补助项目申报表</w:t>
      </w:r>
    </w:p>
    <w:p w14:paraId="7E761AB0">
      <w:pPr>
        <w:keepNext w:val="0"/>
        <w:keepLines w:val="0"/>
        <w:pageBreakBefore w:val="0"/>
        <w:kinsoku/>
        <w:wordWrap/>
        <w:overflowPunct/>
        <w:topLinePunct w:val="0"/>
        <w:autoSpaceDE/>
        <w:autoSpaceDN/>
        <w:bidi w:val="0"/>
        <w:adjustRightInd w:val="0"/>
        <w:snapToGrid w:val="0"/>
        <w:spacing w:line="560" w:lineRule="exact"/>
        <w:ind w:firstLine="1600" w:firstLineChars="5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6.项目推荐汇总表</w:t>
      </w:r>
    </w:p>
    <w:p w14:paraId="490AD0EF">
      <w:pPr>
        <w:keepNext w:val="0"/>
        <w:keepLines w:val="0"/>
        <w:pageBreakBefore w:val="0"/>
        <w:kinsoku/>
        <w:wordWrap/>
        <w:overflowPunct/>
        <w:topLinePunct w:val="0"/>
        <w:autoSpaceDE/>
        <w:autoSpaceDN/>
        <w:bidi w:val="0"/>
        <w:adjustRightInd w:val="0"/>
        <w:snapToGrid w:val="0"/>
        <w:spacing w:line="560" w:lineRule="exact"/>
        <w:ind w:firstLine="1600" w:firstLineChars="500"/>
        <w:textAlignment w:val="auto"/>
        <w:rPr>
          <w:rFonts w:hint="default" w:ascii="仿宋_GB2312" w:eastAsia="仿宋_GB2312" w:cs="仿宋_GB2312"/>
          <w:sz w:val="32"/>
          <w:szCs w:val="32"/>
          <w:lang w:val="en-US" w:eastAsia="zh-CN"/>
        </w:rPr>
      </w:pPr>
      <w:r>
        <w:rPr>
          <w:rFonts w:hint="eastAsia" w:ascii="仿宋_GB2312" w:eastAsia="仿宋_GB2312" w:cs="仿宋_GB2312"/>
          <w:sz w:val="32"/>
          <w:szCs w:val="32"/>
          <w:lang w:val="en-US" w:eastAsia="zh-CN"/>
        </w:rPr>
        <w:t>7.无失信被执行人员、无涉黑涉恶承诺书</w:t>
      </w:r>
    </w:p>
    <w:p w14:paraId="45D56FEA">
      <w:pPr>
        <w:keepNext w:val="0"/>
        <w:keepLines w:val="0"/>
        <w:pageBreakBefore w:val="0"/>
        <w:kinsoku/>
        <w:wordWrap/>
        <w:overflowPunct/>
        <w:topLinePunct w:val="0"/>
        <w:autoSpaceDE/>
        <w:autoSpaceDN/>
        <w:bidi w:val="0"/>
        <w:adjustRightInd w:val="0"/>
        <w:snapToGrid w:val="0"/>
        <w:spacing w:line="560" w:lineRule="exact"/>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xml:space="preserve">               </w:t>
      </w:r>
    </w:p>
    <w:p w14:paraId="308F012B">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xml:space="preserve">                           泉州市工业和信息化局</w:t>
      </w:r>
    </w:p>
    <w:p w14:paraId="23396AE3">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xml:space="preserve">                         </w:t>
      </w:r>
      <w:r>
        <w:rPr>
          <w:rFonts w:hint="default" w:ascii="仿宋_GB2312" w:eastAsia="仿宋_GB2312" w:cs="仿宋_GB2312"/>
          <w:sz w:val="32"/>
          <w:szCs w:val="32"/>
          <w:lang w:val="en-US" w:eastAsia="zh-CN"/>
        </w:rPr>
        <w:t xml:space="preserve"> </w:t>
      </w:r>
      <w:r>
        <w:rPr>
          <w:rFonts w:hint="eastAsia" w:ascii="仿宋_GB2312" w:eastAsia="仿宋_GB2312" w:cs="仿宋_GB2312"/>
          <w:sz w:val="32"/>
          <w:szCs w:val="32"/>
          <w:lang w:val="en-US" w:eastAsia="zh-CN"/>
        </w:rPr>
        <w:t xml:space="preserve">    2026年2月26日</w:t>
      </w:r>
    </w:p>
    <w:sectPr>
      <w:footerReference r:id="rId3" w:type="default"/>
      <w:pgSz w:w="11906" w:h="16838"/>
      <w:pgMar w:top="1474" w:right="1474" w:bottom="1474" w:left="1474" w:header="0" w:footer="112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6224BC-5B6D-4D65-8B0C-F1D6D404401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10601030101010101"/>
    <w:charset w:val="86"/>
    <w:family w:val="auto"/>
    <w:pitch w:val="default"/>
    <w:sig w:usb0="00000001" w:usb1="080E0000" w:usb2="00000000" w:usb3="00000000" w:csb0="00040000"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1066B312-9DA5-4BA0-8FF8-14D3A6766951}"/>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3" w:fontKey="{6335C2FF-8834-4F21-97E7-F9E80AACC943}"/>
  </w:font>
  <w:font w:name="楷体">
    <w:panose1 w:val="02010609060101010101"/>
    <w:charset w:val="86"/>
    <w:family w:val="auto"/>
    <w:pitch w:val="default"/>
    <w:sig w:usb0="800002BF" w:usb1="38CF7CFA" w:usb2="00000016" w:usb3="00000000" w:csb0="00040001" w:csb1="00000000"/>
    <w:embedRegular r:id="rId4" w:fontKey="{AF566B3F-048D-4A40-93B3-66A260BC55A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2FAEC">
    <w:pPr>
      <w:spacing w:line="233" w:lineRule="auto"/>
      <w:ind w:left="12254"/>
      <w:rPr>
        <w:rFonts w:ascii="宋体" w:hAnsi="宋体" w:eastAsia="宋体" w:cs="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dit="readOnly" w:enforcement="0"/>
  <w:defaultTabStop w:val="420"/>
  <w:drawingGridHorizontalSpacing w:val="160"/>
  <w:drawingGridVerticalSpacing w:val="59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1NjZmNjgwMjYyYWY3NmZhNmYxYmY2YTUwYTdiYTEifQ=="/>
  </w:docVars>
  <w:rsids>
    <w:rsidRoot w:val="00000000"/>
    <w:rsid w:val="02875833"/>
    <w:rsid w:val="06C669EC"/>
    <w:rsid w:val="08003706"/>
    <w:rsid w:val="0B8D7CFF"/>
    <w:rsid w:val="0F7656DC"/>
    <w:rsid w:val="11EF27C1"/>
    <w:rsid w:val="12267AD6"/>
    <w:rsid w:val="141623FA"/>
    <w:rsid w:val="14F46542"/>
    <w:rsid w:val="158C5C66"/>
    <w:rsid w:val="18450A85"/>
    <w:rsid w:val="194F2E6D"/>
    <w:rsid w:val="1A94688D"/>
    <w:rsid w:val="1AA9383F"/>
    <w:rsid w:val="1C671A57"/>
    <w:rsid w:val="1DA1131B"/>
    <w:rsid w:val="1E7F0DAD"/>
    <w:rsid w:val="209C2C89"/>
    <w:rsid w:val="219D26B3"/>
    <w:rsid w:val="2232192B"/>
    <w:rsid w:val="229A509C"/>
    <w:rsid w:val="27895665"/>
    <w:rsid w:val="29BD1AEA"/>
    <w:rsid w:val="2D165B3F"/>
    <w:rsid w:val="2D750955"/>
    <w:rsid w:val="32C65A88"/>
    <w:rsid w:val="32E05404"/>
    <w:rsid w:val="338B0EAB"/>
    <w:rsid w:val="34D5719F"/>
    <w:rsid w:val="360D3937"/>
    <w:rsid w:val="370E09E1"/>
    <w:rsid w:val="3E2E4312"/>
    <w:rsid w:val="3FAD0888"/>
    <w:rsid w:val="408F0781"/>
    <w:rsid w:val="40B8379B"/>
    <w:rsid w:val="4187179E"/>
    <w:rsid w:val="440B14A0"/>
    <w:rsid w:val="443C075B"/>
    <w:rsid w:val="44C9763A"/>
    <w:rsid w:val="44F92736"/>
    <w:rsid w:val="4D6F609D"/>
    <w:rsid w:val="4EB47802"/>
    <w:rsid w:val="4EE06E80"/>
    <w:rsid w:val="51F67BB2"/>
    <w:rsid w:val="520F6DE4"/>
    <w:rsid w:val="52176253"/>
    <w:rsid w:val="53683380"/>
    <w:rsid w:val="53707511"/>
    <w:rsid w:val="55340FFC"/>
    <w:rsid w:val="55465D70"/>
    <w:rsid w:val="55474366"/>
    <w:rsid w:val="57650F48"/>
    <w:rsid w:val="5B926D8C"/>
    <w:rsid w:val="601F2A58"/>
    <w:rsid w:val="6315739F"/>
    <w:rsid w:val="649C269E"/>
    <w:rsid w:val="662704FC"/>
    <w:rsid w:val="70E1405A"/>
    <w:rsid w:val="78B97CF9"/>
    <w:rsid w:val="7971075D"/>
    <w:rsid w:val="7D534049"/>
    <w:rsid w:val="7D614EB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0" w:semiHidden="0" w:name="heading 2"/>
    <w:lsdException w:qFormat="1"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简体" w:cs="Times New Roman"/>
      <w:kern w:val="2"/>
      <w:sz w:val="32"/>
      <w:szCs w:val="24"/>
      <w:lang w:val="en-US" w:eastAsia="zh-CN" w:bidi="ar-SA"/>
    </w:rPr>
  </w:style>
  <w:style w:type="paragraph" w:styleId="3">
    <w:name w:val="heading 2"/>
    <w:next w:val="1"/>
    <w:unhideWhenUsed/>
    <w:qFormat/>
    <w:uiPriority w:val="0"/>
    <w:pPr>
      <w:widowControl w:val="0"/>
      <w:spacing w:before="100" w:beforeAutospacing="1" w:after="100" w:afterAutospacing="1"/>
      <w:jc w:val="left"/>
      <w:outlineLvl w:val="1"/>
    </w:pPr>
    <w:rPr>
      <w:rFonts w:hint="eastAsia" w:ascii="宋体" w:hAnsi="宋体" w:eastAsia="宋体" w:cs="宋体"/>
      <w:b/>
      <w:kern w:val="0"/>
      <w:sz w:val="36"/>
      <w:szCs w:val="36"/>
      <w:lang w:val="en-US" w:eastAsia="zh-CN" w:bidi="ar-SA"/>
    </w:rPr>
  </w:style>
  <w:style w:type="paragraph" w:styleId="4">
    <w:name w:val="heading 3"/>
    <w:basedOn w:val="1"/>
    <w:next w:val="1"/>
    <w:unhideWhenUsed/>
    <w:qFormat/>
    <w:uiPriority w:val="0"/>
    <w:pPr>
      <w:spacing w:before="100" w:beforeAutospacing="1" w:after="100" w:afterAutospacing="1"/>
      <w:jc w:val="left"/>
    </w:pPr>
    <w:rPr>
      <w:rFonts w:hint="eastAsia" w:ascii="宋体" w:hAnsi="宋体" w:eastAsia="宋体" w:cs="宋体"/>
      <w:b/>
      <w:bCs/>
      <w:kern w:val="0"/>
      <w:sz w:val="27"/>
      <w:szCs w:val="27"/>
      <w:lang w:val="en-US" w:eastAsia="zh-CN"/>
    </w:rPr>
  </w:style>
  <w:style w:type="character" w:default="1" w:styleId="13">
    <w:name w:val="Default Paragraph Font"/>
    <w:semiHidden/>
    <w:qFormat/>
    <w:uiPriority w:val="0"/>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5">
    <w:name w:val="index 6"/>
    <w:next w:val="1"/>
    <w:unhideWhenUsed/>
    <w:qFormat/>
    <w:uiPriority w:val="99"/>
    <w:pPr>
      <w:widowControl w:val="0"/>
      <w:ind w:left="2100"/>
      <w:jc w:val="both"/>
    </w:pPr>
    <w:rPr>
      <w:rFonts w:ascii="Times New Roman" w:hAnsi="Times New Roman" w:eastAsia="宋体" w:cs="Times New Roman"/>
      <w:kern w:val="2"/>
      <w:sz w:val="21"/>
      <w:szCs w:val="24"/>
      <w:lang w:val="en-US" w:eastAsia="zh-CN" w:bidi="ar-SA"/>
    </w:rPr>
  </w:style>
  <w:style w:type="paragraph" w:styleId="6">
    <w:name w:val="Body Text Indent"/>
    <w:basedOn w:val="1"/>
    <w:unhideWhenUsed/>
    <w:qFormat/>
    <w:uiPriority w:val="99"/>
    <w:pPr>
      <w:spacing w:after="120"/>
      <w:ind w:left="420" w:leftChars="200"/>
    </w:p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qFormat/>
    <w:uiPriority w:val="0"/>
    <w:pPr>
      <w:widowControl w:val="0"/>
      <w:spacing w:before="100" w:beforeAutospacing="1" w:after="100" w:afterAutospacing="1"/>
      <w:ind w:left="0" w:right="0"/>
      <w:jc w:val="left"/>
    </w:pPr>
    <w:rPr>
      <w:rFonts w:ascii="Times New Roman" w:hAnsi="Times New Roman" w:eastAsia="宋体" w:cs="Times New Roman"/>
      <w:kern w:val="0"/>
      <w:sz w:val="24"/>
      <w:szCs w:val="24"/>
      <w:lang w:val="en-US" w:eastAsia="zh-CN" w:bidi="ar-SA"/>
    </w:rPr>
  </w:style>
  <w:style w:type="paragraph" w:styleId="11">
    <w:name w:val="Body Text First Indent 2"/>
    <w:basedOn w:val="6"/>
    <w:next w:val="5"/>
    <w:unhideWhenUsed/>
    <w:qFormat/>
    <w:uiPriority w:val="99"/>
    <w:pPr>
      <w:widowControl w:val="0"/>
      <w:spacing w:after="120"/>
      <w:ind w:left="0" w:leftChars="0" w:firstLine="420"/>
      <w:jc w:val="both"/>
    </w:pPr>
    <w:rPr>
      <w:rFonts w:ascii="Times New Roman" w:hAnsi="Times New Roman" w:eastAsia="宋体" w:cs="Times New Roman"/>
      <w:kern w:val="2"/>
      <w:sz w:val="21"/>
      <w:szCs w:val="24"/>
      <w:lang w:val="en-US" w:eastAsia="zh-CN" w:bidi="ar-SA"/>
    </w:rPr>
  </w:style>
  <w:style w:type="paragraph" w:customStyle="1" w:styleId="14">
    <w:name w:val="Table Text"/>
    <w:basedOn w:val="1"/>
    <w:semiHidden/>
    <w:qFormat/>
    <w:uiPriority w:val="0"/>
    <w:rPr>
      <w:rFonts w:ascii="FangSong_GB2312" w:hAnsi="FangSong_GB2312" w:eastAsia="FangSong_GB2312" w:cs="FangSong_GB2312"/>
      <w:sz w:val="20"/>
      <w:szCs w:val="20"/>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p0"/>
    <w:basedOn w:val="1"/>
    <w:qFormat/>
    <w:uiPriority w:val="0"/>
    <w:pPr>
      <w:widowControl/>
    </w:pPr>
    <w:rPr>
      <w:kern w:val="0"/>
      <w:szCs w:val="21"/>
    </w:rPr>
  </w:style>
  <w:style w:type="character" w:customStyle="1" w:styleId="17">
    <w:name w:val="font3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2603</Words>
  <Characters>2756</Characters>
  <Lines>1</Lines>
  <Paragraphs>1</Paragraphs>
  <TotalTime>14</TotalTime>
  <ScaleCrop>false</ScaleCrop>
  <LinksUpToDate>false</LinksUpToDate>
  <CharactersWithSpaces>2835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2013-12-23T10:22:00Z</dcterms:created>
  <dc:creator>jane</dc:creator>
  <cp:lastModifiedBy>ㅤㅤ</cp:lastModifiedBy>
  <cp:lastPrinted>2026-02-25T09:45:00Z</cp:lastPrinted>
  <dcterms:modified xsi:type="dcterms:W3CDTF">2026-02-26T01:41:40Z</dcterms:modified>
  <dc:title>福建省经济贸易委员会</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2BD5E5A66F304A51834DBCCC68EE7ADF</vt:lpwstr>
  </property>
  <property fmtid="{D5CDD505-2E9C-101B-9397-08002B2CF9AE}" pid="4" name="KSOTemplateDocerSaveRecord">
    <vt:lpwstr>eyJoZGlkIjoiNzI3NGFlZDY2MjlkZTVkZWYxMGM3NTFkMzc2Y2U3NzgiLCJ1c2VySWQiOiIzMjQ0NTM0NTgifQ==</vt:lpwstr>
  </property>
</Properties>
</file>